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160"/>
      </w:pPr>
      <w:r>
        <w:rPr>
          <w:b/>
          <w:color w:val="8C6220"/>
          <w:sz w:val="18"/>
        </w:rPr>
        <w:t>CONTRACTENRECHT</w:t>
      </w:r>
    </w:p>
    <w:p>
      <w:pPr>
        <w:pStyle w:val="Title"/>
      </w:pPr>
      <w:r>
        <w:t>Betalingsregeling</w:t>
      </w:r>
    </w:p>
    <w:p>
      <w:pPr>
        <w:pStyle w:val="Subtitle"/>
      </w:pPr>
      <w:r>
        <w:t>Leg een haalbare aflossingsregeling voor een bestaande schuld schriftelijk vast.</w:t>
      </w:r>
    </w:p>
    <w:p>
      <w:pPr>
        <w:pStyle w:val="Smallprint"/>
        <w:pBdr>
          <w:bottom w:val="single" w:sz="6" w:space="1" w:color="DEDBD2"/>
        </w:pBdr>
      </w:pPr>
      <w:r>
        <w:rPr>
          <w:b/>
        </w:rPr>
        <w:t xml:space="preserve">Model voor Nederlands recht  |  Versie </w:t>
      </w:r>
      <w:r>
        <w:t>24 juli 2026</w:t>
      </w:r>
    </w:p>
    <w:p>
      <w:pPr>
        <w:pStyle w:val="Heading1"/>
      </w:pPr>
      <w:r>
        <w:t>Wanneer gebruikt u dit model?</w:t>
      </w:r>
    </w:p>
    <w:p>
      <w:r>
        <w:t>Dit model is bedoeld wanneer schuldeiser en schuldenaar het bestaan en bedrag van een opeisbare schuld kennen en afspraken willen maken over betaling in termijnen.</w:t>
      </w:r>
    </w:p>
    <w:p>
      <w:pPr>
        <w:pStyle w:val="Heading1"/>
      </w:pPr>
      <w:r>
        <w:t>Partijen</w:t>
      </w:r>
    </w:p>
    <w:p>
      <w:r>
        <w:t>1. [Schuldeiser: volledige naam/bedrijfsnaam], gevestigd of wonend aan [adres], [KvK-nummer indien van toepassing], rechtsgeldig vertegenwoordigd door [naam], hierna: Schuldeiser;</w:t>
        <w:br/>
        <w:br/>
        <w:t>2. [Schuldenaar: volledige naam/bedrijfsnaam], gevestigd of wonend aan [adres], [KvK-nummer indien van toepassing], rechtsgeldig vertegenwoordigd door [naam], hierna: Schuldenaar;</w:t>
        <w:br/>
        <w:br/>
        <w:t>hierna samen: Partijen.</w:t>
      </w:r>
    </w:p>
    <w:p>
      <w:pPr>
        <w:pStyle w:val="Heading2"/>
      </w:pPr>
      <w:r>
        <w:t>1. Schuld</w:t>
      </w:r>
    </w:p>
    <w:p>
      <w:r>
        <w:t>Partijen stellen vast dat Schuldenaar op [peildatum] € [bedrag] verschuldigd is uit [factuur/overeenkomst], bestaande uit [hoofdsom, rente en kosten gespecificeerd].</w:t>
      </w:r>
    </w:p>
    <w:p>
      <w:pPr>
        <w:pStyle w:val="Heading2"/>
      </w:pPr>
      <w:r>
        <w:t>2. Termijnen</w:t>
      </w:r>
    </w:p>
    <w:p>
      <w:r>
        <w:t>Schuldenaar betaalt [aantal] termijnen van € [bedrag], steeds uiterlijk op [data/dag van de maand], naar [IBAN] onder vermelding van [kenmerk].</w:t>
      </w:r>
    </w:p>
    <w:p>
      <w:pPr>
        <w:pStyle w:val="Heading2"/>
      </w:pPr>
      <w:r>
        <w:t>3. Rente en kosten</w:t>
      </w:r>
    </w:p>
    <w:p>
      <w:r>
        <w:t>Tijdens de regeling geldt [geen / wettelijke / overeengekomen en rechtsgeldige] rente van [percentage]. Nieuwe kosten worden alleen berekend als daarvoor een geldige grond bestaat.</w:t>
      </w:r>
    </w:p>
    <w:p>
      <w:pPr>
        <w:pStyle w:val="Heading2"/>
      </w:pPr>
      <w:r>
        <w:t>4. Extra aflossing</w:t>
      </w:r>
    </w:p>
    <w:p>
      <w:r>
        <w:t>Schuldenaar mag zonder boete extra aflossen. Extra betalingen worden eerst toegerekend volgens [wettelijke volgorde / rechtsgeldige afspraak].</w:t>
      </w:r>
    </w:p>
    <w:p>
      <w:pPr>
        <w:pStyle w:val="Heading2"/>
      </w:pPr>
      <w:r>
        <w:t>5. Te late termijn</w:t>
      </w:r>
    </w:p>
    <w:p>
      <w:r>
        <w:t>Bij een gemiste termijn neemt Schuldenaar direct contact op. Schuldeiser geeft waar passend schriftelijk een korte hersteltermijn voordat verdere maatregelen worden genomen.</w:t>
      </w:r>
    </w:p>
    <w:p>
      <w:pPr>
        <w:pStyle w:val="Heading2"/>
      </w:pPr>
      <w:r>
        <w:t>6. Geen afstand</w:t>
      </w:r>
    </w:p>
    <w:p>
      <w:r>
        <w:t>Deze regeling wijzigt de oorspronkelijke grondslag van de schuld niet, behalve voor zover in dit document uitdrukkelijk is afgesproken.</w:t>
      </w:r>
    </w:p>
    <w:p>
      <w:pPr>
        <w:pStyle w:val="Heading2"/>
      </w:pPr>
      <w:r>
        <w:t>7. Volledige betaling</w:t>
      </w:r>
    </w:p>
    <w:p>
      <w:r>
        <w:t>Na volledige en tijdige betaling bevestigt Schuldeiser schriftelijk dat de in artikel 1 genoemde schuld is voldaan.</w:t>
      </w:r>
    </w:p>
    <w:p>
      <w:pPr>
        <w:pStyle w:val="Heading2"/>
      </w:pPr>
      <w:r>
        <w:t>8. Communicatie</w:t>
      </w:r>
    </w:p>
    <w:p>
      <w:r>
        <w:t>Berichten over de regeling worden gestuurd aan [e-mail/adres]. Wijzigingen gelden alleen als partijen die schriftelijk bevestigen.</w:t>
      </w:r>
    </w:p>
    <w:p>
      <w:pPr>
        <w:pStyle w:val="Heading2"/>
      </w:pPr>
      <w:r>
        <w:t>Ondertekening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4680"/>
        <w:gridCol w:w="4680"/>
      </w:tblGrid>
      <w:tr>
        <w:trPr>
          <w:tblHeader w:val="true"/>
        </w:trPr>
        <w:tc>
          <w:tcPr>
            <w:tcW w:type="dxa" w:w="4680"/>
            <w:tcMar>
              <w:top w:w="100" w:type="dxa"/>
              <w:start w:w="120" w:type="dxa"/>
              <w:bottom w:w="100" w:type="dxa"/>
              <w:end w:w="120" w:type="dxa"/>
            </w:tcMar>
            <w:shd w:fill="F6F6F3"/>
          </w:tcPr>
          <w:p>
            <w:r>
              <w:rPr>
                <w:b/>
              </w:rPr>
              <w:t>Schuldeiser</w:t>
            </w:r>
          </w:p>
        </w:tc>
        <w:tc>
          <w:tcPr>
            <w:tcW w:type="dxa" w:w="4680"/>
            <w:tcMar>
              <w:top w:w="100" w:type="dxa"/>
              <w:start w:w="120" w:type="dxa"/>
              <w:bottom w:w="100" w:type="dxa"/>
              <w:end w:w="120" w:type="dxa"/>
            </w:tcMar>
            <w:shd w:fill="F6F6F3"/>
          </w:tcPr>
          <w:p>
            <w:r>
              <w:rPr>
                <w:b/>
              </w:rPr>
              <w:t>Schuldenaar</w:t>
            </w:r>
          </w:p>
        </w:tc>
      </w:tr>
      <w:tr>
        <w:tc>
          <w:tcPr>
            <w:tcW w:type="dxa" w:w="4680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t>Naam: [invullen]</w:t>
            </w:r>
          </w:p>
        </w:tc>
        <w:tc>
          <w:tcPr>
            <w:tcW w:type="dxa" w:w="4680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t>Naam: [invullen]</w:t>
            </w:r>
          </w:p>
        </w:tc>
      </w:tr>
      <w:tr>
        <w:tc>
          <w:tcPr>
            <w:tcW w:type="dxa" w:w="4680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t>Functie: [invullen]</w:t>
            </w:r>
          </w:p>
        </w:tc>
        <w:tc>
          <w:tcPr>
            <w:tcW w:type="dxa" w:w="4680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t>Functie: [invullen]</w:t>
            </w:r>
          </w:p>
        </w:tc>
      </w:tr>
      <w:tr>
        <w:tc>
          <w:tcPr>
            <w:tcW w:type="dxa" w:w="4680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t>Plaats en datum: [invullen]</w:t>
            </w:r>
          </w:p>
        </w:tc>
        <w:tc>
          <w:tcPr>
            <w:tcW w:type="dxa" w:w="4680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t>Plaats en datum: [invullen]</w:t>
            </w:r>
          </w:p>
        </w:tc>
      </w:tr>
      <w:tr>
        <w:tc>
          <w:tcPr>
            <w:tcW w:type="dxa" w:w="4680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t>Handtekening:</w:t>
              <w:br/>
              <w:br/>
            </w:r>
          </w:p>
        </w:tc>
        <w:tc>
          <w:tcPr>
            <w:tcW w:type="dxa" w:w="4680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t>Handtekening:</w:t>
              <w:br/>
              <w:br/>
            </w:r>
          </w:p>
        </w:tc>
      </w:tr>
    </w:tbl>
    <w:p>
      <w:pPr>
        <w:pStyle w:val="Heading2"/>
      </w:pPr>
      <w:r>
        <w:t>Controleer vóór ondertekening of gebruik</w:t>
      </w:r>
    </w:p>
    <w:p>
      <w:pPr>
        <w:pStyle w:val="ListBullet"/>
      </w:pPr>
      <w:r>
        <w:t>Hoofdsom, rente en kosten zijn afzonderlijk en controleerbaar vermeld.</w:t>
      </w:r>
    </w:p>
    <w:p>
      <w:pPr>
        <w:pStyle w:val="ListBullet"/>
      </w:pPr>
      <w:r>
        <w:t>Termijnen en data zijn haalbaar en tellen op tot het juiste totaal.</w:t>
      </w:r>
    </w:p>
    <w:p>
      <w:pPr>
        <w:pStyle w:val="ListBullet"/>
      </w:pPr>
      <w:r>
        <w:t>Gevolgen van een gemiste termijn zijn proportioneel.</w:t>
      </w:r>
    </w:p>
    <w:p>
      <w:pPr>
        <w:pStyle w:val="ListBullet"/>
      </w:pPr>
      <w:r>
        <w:t>Er is geen druk, misleiding of afstand van niet-begrepen rechten.</w:t>
      </w:r>
    </w:p>
    <w:p>
      <w:pPr>
        <w:pStyle w:val="Heading2"/>
      </w:pPr>
      <w:r>
        <w:t>Wanneer maatwerk verstandig is</w:t>
      </w:r>
    </w:p>
    <w:p>
      <w:pPr>
        <w:pStyle w:val="ListBullet"/>
      </w:pPr>
      <w:r>
        <w:t>De schuldenaar heeft meerdere schuldeisers of problematische schulden.</w:t>
      </w:r>
    </w:p>
    <w:p>
      <w:pPr>
        <w:pStyle w:val="ListBullet"/>
      </w:pPr>
      <w:r>
        <w:t>De vordering wordt betwist, is mogelijk verjaard of bevat incassokosten.</w:t>
      </w:r>
    </w:p>
    <w:p>
      <w:pPr>
        <w:pStyle w:val="ListBullet"/>
      </w:pPr>
      <w:r>
        <w:t>Er spelen beslag, faillissement, WSNP, bewind of schuldhulpverlening.</w:t>
      </w:r>
    </w:p>
    <w:p>
      <w:pPr>
        <w:pStyle w:val="Heading2"/>
      </w:pPr>
      <w:r>
        <w:t>Betrouwbare bronnen</w:t>
      </w:r>
    </w:p>
    <w:p>
      <w:pPr>
        <w:pStyle w:val="ListBullet"/>
      </w:pPr>
      <w:hyperlink r:id="rId11">
        <w:r>
          <w:rPr>
            <w:color w:val="8C6220"/>
            <w:u w:val="single"/>
          </w:rPr>
          <w:t>Ondernemersplein: betalingstermijnen, incassokosten en wettelijke rente</w:t>
        </w:r>
      </w:hyperlink>
    </w:p>
    <w:p>
      <w:pPr>
        <w:pStyle w:val="ListBullet"/>
      </w:pPr>
      <w:hyperlink r:id="rId12">
        <w:r>
          <w:rPr>
            <w:color w:val="8C6220"/>
            <w:u w:val="single"/>
          </w:rPr>
          <w:t>Rijksoverheid: hulp bij schulden</w:t>
        </w:r>
      </w:hyperlink>
    </w:p>
    <w:p>
      <w:pPr>
        <w:pStyle w:val="Smallprint"/>
      </w:pPr>
      <w:r>
        <w:t>Wet- en regelgeving kan wijzigen. Controleer vóór gebruik of de genoemde bron nog actueel is.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9360"/>
      </w:tblGrid>
      <w:tr>
        <w:trPr>
          <w:tblHeader w:val="true"/>
        </w:trPr>
        <w:tc>
          <w:tcPr>
            <w:tcW w:type="dxa" w:w="9360"/>
            <w:vAlign w:val="center"/>
            <w:tcMar>
              <w:top w:w="140" w:type="dxa"/>
              <w:start w:w="180" w:type="dxa"/>
              <w:bottom w:w="140" w:type="dxa"/>
              <w:end w:w="180" w:type="dxa"/>
            </w:tcMar>
            <w:shd w:fill="F6F6F3"/>
          </w:tcPr>
          <w:p>
            <w:pPr>
              <w:spacing w:after="60"/>
            </w:pPr>
            <w:r>
              <w:rPr>
                <w:b/>
                <w:color w:val="8C6220"/>
              </w:rPr>
              <w:t>Wilt u zekerheid vóór u verstuurt of tekent?</w:t>
            </w:r>
          </w:p>
          <w:p>
            <w:pPr>
              <w:pStyle w:val="Smallprint"/>
            </w:pPr>
            <w:r>
              <w:t>ArevLegal kan uw ingevulde document controleren of aanpassen aan uw situatie, vanaf € 250 excl. btw. U krijgt vooraf duidelijkheid over de prijs en de werkzaamheden. Neem contact op via info@arevlegal.nl en vermeld als onderwerp: controle betalingsregeling.</w:t>
            </w:r>
          </w:p>
        </w:tc>
      </w:tr>
    </w:tbl>
    <w:p>
      <w:pPr>
        <w:spacing w:after="0"/>
      </w:pPr>
    </w:p>
    <w:sectPr>
      <w:headerReference w:type="default" r:id="rId9"/>
      <w:footerReference w:type="default" r:id="rId10"/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Calibri" w:hAnsi="Calibri"/>
        <w:color w:val="5C584F"/>
        <w:sz w:val="16"/>
      </w:rPr>
      <w:t xml:space="preserve">ArevLegal  |  Gecontroleerd op 24 juli 2026  |  arevlegal.nl  |  </w:t>
    </w:r>
    <w:r>
      <w:fldChar w:fldCharType="begin"/>
      <w:instrText xml:space="preserve"> PAGE 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right"/>
      <w:pBdr>
        <w:bottom w:val="single" w:sz="8" w:space="1" w:color="B9862E"/>
      </w:pBdr>
    </w:pPr>
    <w:r>
      <w:rPr>
        <w:rFonts w:ascii="Calibri" w:hAnsi="Calibri"/>
        <w:b/>
        <w:color w:val="8C6220"/>
        <w:sz w:val="17"/>
      </w:rPr>
      <w:t>AREVLEGAL  |  VOORBEELDDOCUMENT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80" w:line="278" w:lineRule="auto"/>
    </w:pPr>
    <w:rPr>
      <w:rFonts w:ascii="Calibri" w:hAnsi="Calibri"/>
      <w:color w:val="19170F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280" w:after="140"/>
      <w:outlineLvl w:val="0"/>
    </w:pPr>
    <w:rPr>
      <w:rFonts w:asciiTheme="majorHAnsi" w:eastAsiaTheme="majorEastAsia" w:hAnsiTheme="majorHAnsi" w:cstheme="majorBidi" w:ascii="Calibri" w:hAnsi="Calibri"/>
      <w:b/>
      <w:bCs/>
      <w:color w:val="19170F"/>
      <w:sz w:val="30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100"/>
      <w:outlineLvl w:val="1"/>
    </w:pPr>
    <w:rPr>
      <w:rFonts w:asciiTheme="majorHAnsi" w:eastAsiaTheme="majorEastAsia" w:hAnsiTheme="majorHAnsi" w:cstheme="majorBidi" w:ascii="Calibri" w:hAnsi="Calibri"/>
      <w:b/>
      <w:bCs/>
      <w:color w:val="19170F"/>
      <w:sz w:val="25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 w:ascii="Calibri" w:hAnsi="Calibri"/>
      <w:b/>
      <w:bCs/>
      <w:color w:val="19170F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keepNext/>
      <w:pBdr>
        <w:bottom w:val="single" w:sz="8" w:space="4" w:color="4F81BD" w:themeColor="accent1"/>
      </w:pBdr>
      <w:spacing w:after="160" w:line="240" w:lineRule="auto" w:before="0"/>
      <w:contextualSpacing/>
    </w:pPr>
    <w:rPr>
      <w:rFonts w:asciiTheme="majorHAnsi" w:eastAsiaTheme="majorEastAsia" w:hAnsiTheme="majorHAnsi" w:cstheme="majorBidi" w:ascii="Calibri" w:hAnsi="Calibri"/>
      <w:b/>
      <w:color w:val="19170F"/>
      <w:spacing w:val="5"/>
      <w:kern w:val="28"/>
      <w:sz w:val="50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keepNext/>
      <w:numPr>
        <w:ilvl w:val="1"/>
      </w:numPr>
      <w:spacing w:before="0" w:after="240"/>
    </w:pPr>
    <w:rPr>
      <w:rFonts w:asciiTheme="majorHAnsi" w:eastAsiaTheme="majorEastAsia" w:hAnsiTheme="majorHAnsi" w:cstheme="majorBidi" w:ascii="Calibri" w:hAnsi="Calibri"/>
      <w:b w:val="0"/>
      <w:i/>
      <w:iCs/>
      <w:color w:val="5C584F"/>
      <w:spacing w:val="15"/>
      <w:sz w:val="23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spacing w:after="60" w:line="278" w:lineRule="auto"/>
      <w:ind w:left="540" w:hanging="271"/>
      <w:contextualSpacing/>
    </w:pPr>
    <w:rPr>
      <w:rFonts w:ascii="Calibri" w:hAnsi="Calibri"/>
      <w:sz w:val="20"/>
    </w:r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spacing w:after="60" w:line="278" w:lineRule="auto"/>
      <w:ind w:left="540" w:hanging="271"/>
      <w:contextualSpacing/>
    </w:pPr>
    <w:rPr>
      <w:rFonts w:ascii="Calibri" w:hAnsi="Calibri"/>
      <w:sz w:val="20"/>
    </w:r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Smallprint">
    <w:name w:val="Small print"/>
    <w:pPr>
      <w:spacing w:after="80" w:line="276" w:lineRule="auto"/>
    </w:pPr>
    <w:rPr>
      <w:rFonts w:ascii="Calibri" w:hAnsi="Calibri"/>
      <w:color w:val="5C584F"/>
      <w:sz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Relationship Id="rId11" Type="http://schemas.openxmlformats.org/officeDocument/2006/relationships/hyperlink" Target="https://ondernemersplein.overheid.nl/wetten-en-regels/betalingstermijn-incassokosten-en-wettelijke-rente/" TargetMode="External"/><Relationship Id="rId12" Type="http://schemas.openxmlformats.org/officeDocument/2006/relationships/hyperlink" Target="https://www.rijksoverheid.nl/onderwerpen/schulden/vraag-en-antwoord/waar-vind-ik-hulp-bij-schulde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Arevlegal Betalingsregeling</dc:title>
  <dc:subject>Juridisch voorbeelddocument van ArevLegal</dc:subject>
  <dc:creator/>
  <cp:keywords>ArevLegal, juridisch, voorbeeld, model, Nederland</cp:keywords>
  <dc:description>Algemeen voorbeeld; geen individueel juridisch advies.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