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60"/>
      </w:pPr>
      <w:r>
        <w:rPr>
          <w:b/>
          <w:color w:val="8B5E16"/>
        </w:rPr>
        <w:t>BESTUURSRECHT</w:t>
      </w:r>
    </w:p>
    <w:p>
      <w:pPr>
        <w:pStyle w:val="Title"/>
      </w:pPr>
      <w:r>
        <w:rPr>
          <w:b w:val="0"/>
        </w:rPr>
        <w:t>Ingebrekestelling bij niet tijdig beslissen</w:t>
      </w:r>
    </w:p>
    <w:p>
      <w:pPr>
        <w:pStyle w:val="Subtitle"/>
      </w:pPr>
      <w:r>
        <w:rPr>
          <w:b w:val="0"/>
        </w:rPr>
        <w:t>Vraag een overheidsinstantie formeel om alsnog binnen twee weken te beslissen.</w:t>
      </w:r>
    </w:p>
    <w:p>
      <w:pPr>
        <w:pStyle w:val="Smallprint"/>
        <w:pBdr>
          <w:bottom w:val="single" w:sz="6" w:space="1" w:color="DEDBD2"/>
        </w:pBdr>
      </w:pPr>
      <w:r>
        <w:rPr>
          <w:b/>
        </w:rPr>
        <w:t>Model voor Nederlands recht</w:t>
      </w:r>
      <w:r>
        <w:rPr/>
        <w:t xml:space="preserve">  |  Versie 26 juli 2026</w:t>
      </w:r>
    </w:p>
    <w:p>
      <w:pPr>
        <w:pStyle w:val="Heading1"/>
      </w:pPr>
      <w:r>
        <w:rPr>
          <w:b w:val="0"/>
        </w:rPr>
        <w:t>Wanneer gebruikt u dit model?</w:t>
      </w:r>
    </w:p>
    <w:p>
      <w:r>
        <w:rPr>
          <w:b w:val="0"/>
        </w:rPr>
        <w:t>Gebruik dit model als de beslistermijn voor uw aanvraag, bezwaar of verzoek is verstreken en de overheidsinstantie nog geen besluit heeft genomen. Dit is een bestuursrechtelijke ingebrekestelling op grond van de Algemene wet bestuursrecht. Het is niet dezelfde brief als een civielrechtelijke ingebrekestelling bij een niet nagekomen overeenkomst.</w:t>
      </w:r>
    </w:p>
    <w:tbl>
      <w:tblPr>
        <w:tblW w:type="auto" w:w="0"/>
        <w:tblLayout w:type="fixed"/>
        <w:tblLook w:firstColumn="1" w:firstRow="1" w:lastColumn="0" w:lastRow="0" w:noHBand="0" w:noVBand="1" w:val="04A0"/>
      </w:tblPr>
      <w:tblGrid>
        <w:gridCol w:w="9360"/>
      </w:tblGrid>
      <w:tr>
        <w:trPr>
          <w:tblHeader w:val="true"/>
        </w:trPr>
        <w:tc>
          <w:tcPr>
            <w:tcW w:type="dxa" w:w="9360"/>
            <w:vAlign w:val="center"/>
            <w:tcMar>
              <w:top w:w="140" w:type="dxa"/>
              <w:start w:w="180" w:type="dxa"/>
              <w:bottom w:w="140" w:type="dxa"/>
              <w:end w:w="180" w:type="dxa"/>
            </w:tcMar>
            <w:shd w:fill="F6F6F3"/>
          </w:tcPr>
          <w:p>
            <w:pPr>
              <w:spacing w:after="60"/>
            </w:pPr>
            <w:r>
              <w:rPr>
                <w:b/>
                <w:color w:val="8B5E16"/>
              </w:rPr>
              <w:t>Niet te vroeg verzenden</w:t>
            </w:r>
          </w:p>
          <w:p>
            <w:pPr>
              <w:pStyle w:val="Smallprint"/>
            </w:pPr>
            <w:r>
              <w:rPr>
                <w:b w:val="0"/>
              </w:rPr>
              <w:t>Een ingebrekestelling die vóór het einde van de beslistermijn wordt verstuurd, is doorgaans te vroeg en kan niet als geldige ingebrekestelling worden gebruikt. De rechtbank Overijssel verklaarde om die reden een beroep wegens niet tijdig beslissen niet-ontvankelijk (ECLI:NL:RBOVE:2025:6670).</w:t>
            </w:r>
          </w:p>
        </w:tc>
      </w:tr>
    </w:tbl>
    <w:p>
      <w:pPr>
        <w:spacing w:after="0"/>
      </w:pPr>
      <w:r>
        <w:rPr>
          <w:b w:val="0"/>
        </w:rPr>
      </w:r>
    </w:p>
    <w:p>
      <w:pPr>
        <w:pStyle w:val="Heading2"/>
      </w:pPr>
      <w:r>
        <w:rPr>
          <w:b w:val="0"/>
        </w:rPr>
        <w:t>Voor u begint</w:t>
      </w:r>
    </w:p>
    <w:p>
      <w:pPr>
        <w:pStyle w:val="ListBullet"/>
      </w:pPr>
      <w:r>
        <w:rPr>
          <w:b w:val="0"/>
        </w:rPr>
        <w:t>Bereken de beslistermijn en controleer ontvangstbevestigingen, verlengingsbrieven en eventuele opschorting.</w:t>
      </w:r>
    </w:p>
    <w:p>
      <w:pPr>
        <w:pStyle w:val="ListBullet"/>
      </w:pPr>
      <w:r>
        <w:rPr>
          <w:b w:val="0"/>
        </w:rPr>
        <w:t>Ga na of voor uw procedure bijzondere regels gelden, bijvoorbeeld bij een Woo-verzoek, toeslag of verblijfsprocedure.</w:t>
      </w:r>
    </w:p>
    <w:p>
      <w:pPr>
        <w:pStyle w:val="ListBullet"/>
      </w:pPr>
      <w:r>
        <w:rPr>
          <w:b w:val="0"/>
        </w:rPr>
        <w:t>Verstuur de brief via een door de overheidsinstantie opengesteld kanaal en bewaar bewijs van ontvangst.</w:t>
      </w:r>
    </w:p>
    <w:p>
      <w:pPr>
        <w:pStyle w:val="Heading1"/>
      </w:pPr>
      <w:r>
        <w:rPr>
          <w:b w:val="0"/>
        </w:rPr>
        <w:t>Voorbeeldtekst</w:t>
      </w:r>
    </w:p>
    <w:p>
      <w:pPr>
        <w:spacing w:after="140"/>
      </w:pPr>
      <w:r>
        <w:rPr>
          <w:b w:val="0"/>
        </w:rPr>
        <w:t>[Uw naam]</w:t>
        <w:br/>
        <w:t>[Uw adres]</w:t>
        <w:br/>
        <w:t>[Postcode en woonplaats]</w:t>
        <w:br/>
        <w:t>[E-mailadres]</w:t>
        <w:br/>
        <w:t>[Telefoonnummer]</w:t>
      </w:r>
    </w:p>
    <w:p>
      <w:pPr>
        <w:spacing w:after="140"/>
      </w:pPr>
      <w:r>
        <w:rPr>
          <w:b w:val="0"/>
        </w:rPr>
        <w:t>Aan:</w:t>
        <w:br/>
        <w:t>[Naam overheidsinstantie]</w:t>
        <w:br/>
        <w:t>[Adres]</w:t>
        <w:br/>
        <w:t>[Postcode en plaats]</w:t>
      </w:r>
    </w:p>
    <w:p>
      <w:pPr>
        <w:spacing w:after="140"/>
      </w:pPr>
      <w:r>
        <w:rPr>
          <w:b w:val="0"/>
        </w:rPr>
        <w:t>[Plaats], [datum]</w:t>
      </w:r>
    </w:p>
    <w:p>
      <w:pPr>
        <w:spacing w:after="140"/>
      </w:pPr>
      <w:r>
        <w:rPr>
          <w:b/>
        </w:rPr>
        <w:t>Betreft: ingebrekestelling wegens niet tijdig beslissen, zaaknummer [zaaknummer]</w:t>
      </w:r>
    </w:p>
    <w:p>
      <w:pPr>
        <w:spacing w:after="140"/>
      </w:pPr>
      <w:r>
        <w:rPr>
          <w:b w:val="0"/>
        </w:rPr>
        <w:t>Geachte heer/mevrouw,</w:t>
      </w:r>
    </w:p>
    <w:p>
      <w:pPr>
        <w:spacing w:after="140"/>
      </w:pPr>
      <w:r>
        <w:rPr>
          <w:b w:val="0"/>
        </w:rPr>
        <w:t>Op [datum] heb ik bij u een [aanvraag/bezwaarschrift/verzoek] ingediend over [korte omschrijving]. U heeft de ontvangst bevestigd op [datum]. Het zaaknummer is [zaaknummer].</w:t>
      </w:r>
    </w:p>
    <w:p>
      <w:pPr>
        <w:spacing w:after="140"/>
      </w:pPr>
      <w:r>
        <w:rPr>
          <w:b w:val="0"/>
        </w:rPr>
        <w:t>De voor deze procedure geldende beslistermijn van [termijn] is verstreken op [datum]. [Optioneel: U heeft de termijn verlengd of opgeschort tot [datum]; ook die termijn is inmiddels verstreken.] Tot op heden heb ik geen besluit ontvangen.</w:t>
      </w:r>
    </w:p>
    <w:p>
      <w:pPr>
        <w:spacing w:after="140"/>
      </w:pPr>
      <w:r>
        <w:rPr>
          <w:b w:val="0"/>
        </w:rPr>
        <w:t>Hierbij stel ik u formeel in gebreke wegens het niet tijdig nemen van een besluit. Ik verzoek u om alsnog binnen twee weken na ontvangst van deze brief een besluit te nemen en dit aan mij bekend te maken.</w:t>
      </w:r>
    </w:p>
    <w:p>
      <w:pPr>
        <w:spacing w:after="140"/>
      </w:pPr>
      <w:r>
        <w:rPr>
          <w:b w:val="0"/>
        </w:rPr>
        <w:t>Als u niet binnen deze termijn beslist, behoud ik mij het recht voor om, voor zover de wettelijke dwangsomregeling van toepassing is, aanspraak te maken op de dwangsom en beroep in te stellen wegens niet tijdig beslissen.</w:t>
      </w:r>
    </w:p>
    <w:p>
      <w:pPr>
        <w:spacing w:after="140"/>
      </w:pPr>
      <w:r>
        <w:rPr>
          <w:b w:val="0"/>
        </w:rPr>
        <w:t>Wilt u de ontvangst van deze ingebrekestelling schriftelijk bevestigen?</w:t>
        <w:br/>
        <w:br/>
        <w:t>Met vriendelijke groet,</w:t>
        <w:br/>
        <w:br/>
        <w:t>[Handtekening]</w:t>
        <w:br/>
        <w:t>[Naam]</w:t>
      </w:r>
    </w:p>
    <w:p>
      <w:pPr>
        <w:spacing w:after="140"/>
      </w:pPr>
      <w:r>
        <w:rPr>
          <w:b w:val="0"/>
        </w:rPr>
        <w:t>Bijlagen: [ontvangstbevestiging, verlengingsbrief, eerdere correspondentie]</w:t>
      </w:r>
    </w:p>
    <w:p>
      <w:pPr>
        <w:pStyle w:val="Heading2"/>
      </w:pPr>
      <w:r>
        <w:rPr>
          <w:b w:val="0"/>
        </w:rPr>
        <w:t>Controleer vóór verzending</w:t>
      </w:r>
    </w:p>
    <w:p>
      <w:pPr>
        <w:pStyle w:val="ListBullet"/>
      </w:pPr>
      <w:r>
        <w:rPr>
          <w:b w:val="0"/>
        </w:rPr>
        <w:t>De oorspronkelijke aanvraag, het bezwaar of verzoek en het zaaknummer zijn duidelijk genoemd.</w:t>
      </w:r>
    </w:p>
    <w:p>
      <w:pPr>
        <w:pStyle w:val="ListBullet"/>
      </w:pPr>
      <w:r>
        <w:rPr>
          <w:b w:val="0"/>
        </w:rPr>
        <w:t>De beslistermijn is daadwerkelijk verstreken en niet nog geldig verlengd of opgeschort.</w:t>
      </w:r>
    </w:p>
    <w:p>
      <w:pPr>
        <w:pStyle w:val="ListBullet"/>
      </w:pPr>
      <w:r>
        <w:rPr>
          <w:b w:val="0"/>
        </w:rPr>
        <w:t>De brief vraagt ondubbelzinnig om alsnog een besluit te nemen.</w:t>
      </w:r>
    </w:p>
    <w:p>
      <w:pPr>
        <w:pStyle w:val="ListBullet"/>
      </w:pPr>
      <w:r>
        <w:rPr>
          <w:b w:val="0"/>
        </w:rPr>
        <w:t>De ingebrekestelling gaat naar het juiste postadres of toegestane digitale kanaal.</w:t>
      </w:r>
    </w:p>
    <w:p>
      <w:pPr>
        <w:pStyle w:val="ListBullet"/>
      </w:pPr>
      <w:r>
        <w:rPr>
          <w:b w:val="0"/>
        </w:rPr>
        <w:t>U bewaart een kopie en controleerbaar bewijs van ontvangst.</w:t>
      </w:r>
    </w:p>
    <w:p>
      <w:pPr>
        <w:pStyle w:val="Heading2"/>
      </w:pPr>
      <w:r>
        <w:rPr>
          <w:b w:val="0"/>
        </w:rPr>
        <w:t>Wanneer maatwerk verstandig is</w:t>
      </w:r>
    </w:p>
    <w:p>
      <w:pPr>
        <w:pStyle w:val="ListBullet"/>
      </w:pPr>
      <w:r>
        <w:rPr>
          <w:b w:val="0"/>
        </w:rPr>
        <w:t>De beslistermijn, verlenging of opschorting is onduidelijk of wordt door de overheidsinstantie betwist.</w:t>
      </w:r>
    </w:p>
    <w:p>
      <w:pPr>
        <w:pStyle w:val="ListBullet"/>
      </w:pPr>
      <w:r>
        <w:rPr>
          <w:b w:val="0"/>
        </w:rPr>
        <w:t>Er geldt een bijzonder regime, bijvoorbeeld bij een Woo-verzoek, toeslag of verblijfsprocedure.</w:t>
      </w:r>
    </w:p>
    <w:p>
      <w:pPr>
        <w:pStyle w:val="ListBullet"/>
      </w:pPr>
      <w:r>
        <w:rPr>
          <w:b w:val="0"/>
        </w:rPr>
        <w:t>Het uitblijven van het besluit heeft urgente financiële of persoonlijke gevolgen, of er lopen meerdere samenhangende zaken.</w:t>
      </w:r>
    </w:p>
    <w:p>
      <w:pPr>
        <w:pStyle w:val="Heading2"/>
      </w:pPr>
      <w:r>
        <w:rPr>
          <w:b w:val="0"/>
        </w:rPr>
        <w:t>Betrouwbare bronnen</w:t>
      </w:r>
    </w:p>
    <w:p>
      <w:pPr>
        <w:pStyle w:val="ListBullet"/>
      </w:pPr>
      <w:hyperlink r:id="rId13">
        <w:r>
          <w:rPr>
            <w:color w:val="8B5E16"/>
            <w:u w:val="single"/>
          </w:rPr>
          <w:t>Rijksoverheid: wat kunt u doen als de overheid te laat beslist?</w:t>
        </w:r>
      </w:hyperlink>
    </w:p>
    <w:p>
      <w:pPr>
        <w:pStyle w:val="ListBullet"/>
      </w:pPr>
      <w:hyperlink r:id="rId14">
        <w:r>
          <w:rPr>
            <w:color w:val="8B5E16"/>
            <w:u w:val="single"/>
          </w:rPr>
          <w:t>Rechtspraak: overheidsorganisatie beslist niet op tijd</w:t>
        </w:r>
      </w:hyperlink>
    </w:p>
    <w:p>
      <w:pPr>
        <w:pStyle w:val="ListBullet"/>
      </w:pPr>
      <w:hyperlink r:id="rId15">
        <w:r>
          <w:rPr>
            <w:color w:val="8B5E16"/>
            <w:u w:val="single"/>
          </w:rPr>
          <w:t>Rechtspraak: ECLI:NL:RBOVE:2025:6670 (ingebrekestelling te vroeg)</w:t>
        </w:r>
      </w:hyperlink>
    </w:p>
    <w:p>
      <w:pPr>
        <w:pStyle w:val="Smallprint"/>
      </w:pPr>
      <w:r>
        <w:rPr>
          <w:b w:val="0"/>
        </w:rPr>
        <w:t>Wet- en regelgeving kan wijzigen. Controleer vóór gebruik of de termijn, uitzonderingen en genoemde bronnen nog actueel zijn.</w:t>
      </w:r>
    </w:p>
    <w:tbl>
      <w:tblPr>
        <w:tblW w:type="auto" w:w="0"/>
        <w:tblLayout w:type="fixed"/>
        <w:tblLook w:firstColumn="1" w:firstRow="1" w:lastColumn="0" w:lastRow="0" w:noHBand="0" w:noVBand="1" w:val="04A0"/>
      </w:tblPr>
      <w:tblGrid>
        <w:gridCol w:w="9360"/>
      </w:tblGrid>
      <w:tr>
        <w:trPr>
          <w:tblHeader w:val="true"/>
        </w:trPr>
        <w:tc>
          <w:tcPr>
            <w:tcW w:type="dxa" w:w="9360"/>
            <w:vAlign w:val="center"/>
            <w:tcMar>
              <w:top w:w="140" w:type="dxa"/>
              <w:start w:w="180" w:type="dxa"/>
              <w:bottom w:w="140" w:type="dxa"/>
              <w:end w:w="180" w:type="dxa"/>
            </w:tcMar>
            <w:shd w:fill="F6F6F3"/>
          </w:tcPr>
          <w:p>
            <w:pPr>
              <w:spacing w:after="60"/>
            </w:pPr>
            <w:r>
              <w:rPr>
                <w:b/>
                <w:color w:val="8B5E16"/>
              </w:rPr>
              <w:t>Wilt u zekerheid vóór u de overheid in gebreke stelt?</w:t>
            </w:r>
          </w:p>
          <w:p>
            <w:pPr>
              <w:pStyle w:val="Smallprint"/>
            </w:pPr>
            <w:r>
              <w:rPr>
                <w:b w:val="0"/>
              </w:rPr>
              <w:t>ArevLegal kan uw ingevulde document controleren of aanpassen aan uw procedure, vanaf € 250 excl. btw. U krijgt altijd vooraf duidelijkheid over de prijs en de werkzaamheden. Neem contact op via info@arevlegal.nl en vermeld als onderwerp: controle ingebrekestelling niet tijdig beslissen.</w:t>
            </w:r>
          </w:p>
        </w:tc>
      </w:tr>
    </w:tbl>
    <w:p>
      <w:pPr>
        <w:spacing w:after="0"/>
      </w:pPr>
      <w:r>
        <w:rPr>
          <w:b w:val="0"/>
        </w:rPr>
      </w:r>
    </w:p>
    <w:sectPr>
      <w:headerReference w:type="default" r:id="rId9"/>
      <w:footerReference w:type="default" r:id="rId10"/>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Calibri" w:hAnsi="Calibri"/>
        <w:color w:val="5C584F"/>
        <w:sz w:val="16"/>
      </w:rPr>
      <w:t xml:space="preserve">ArevLegal  |  Gecontroleerd op 26 juli 2026  |  arevlegal.nl  |  </w:t>
    </w:r>
    <w:r>
      <w:fldChar w:fldCharType="begin"/>
      <w:instrText xml:space="preserve"> PAGE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Bdr>
        <w:bottom w:val="single" w:sz="8" w:space="1" w:color="B9862E"/>
      </w:pBdr>
    </w:pPr>
    <w:r>
      <w:rPr>
        <w:rFonts w:ascii="Calibri" w:hAnsi="Calibri"/>
        <w:b/>
        <w:color w:val="8C6220"/>
        <w:sz w:val="17"/>
      </w:rPr>
      <w:t>AREVLEGAL  |  VOORBEELDDOCUMENT</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line="278" w:lineRule="auto"/>
    </w:pPr>
    <w:rPr>
      <w:rFonts w:ascii="Calibri" w:hAnsi="Calibri"/>
      <w:color w:val="19170F"/>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140"/>
      <w:outlineLvl w:val="0"/>
    </w:pPr>
    <w:rPr>
      <w:rFonts w:asciiTheme="majorHAnsi" w:eastAsiaTheme="majorEastAsia" w:hAnsiTheme="majorHAnsi" w:cstheme="majorBidi" w:ascii="Calibri" w:hAnsi="Calibri"/>
      <w:b/>
      <w:bCs/>
      <w:color w:val="19170F"/>
      <w:sz w:val="30"/>
      <w:szCs w:val="28"/>
    </w:rPr>
  </w:style>
  <w:style w:type="paragraph" w:styleId="Heading2">
    <w:name w:val="heading 2"/>
    <w:basedOn w:val="Normal"/>
    <w:next w:val="Normal"/>
    <w:link w:val="Heading2Char"/>
    <w:uiPriority w:val="9"/>
    <w:unhideWhenUsed/>
    <w:qFormat/>
    <w:rsid w:val="00FC693F"/>
    <w:pPr>
      <w:keepNext/>
      <w:keepLines/>
      <w:spacing w:before="200" w:after="100"/>
      <w:outlineLvl w:val="1"/>
    </w:pPr>
    <w:rPr>
      <w:rFonts w:asciiTheme="majorHAnsi" w:eastAsiaTheme="majorEastAsia" w:hAnsiTheme="majorHAnsi" w:cstheme="majorBidi" w:ascii="Calibri" w:hAnsi="Calibri"/>
      <w:b/>
      <w:bCs/>
      <w:color w:val="19170F"/>
      <w:sz w:val="25"/>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Calibri" w:hAnsi="Calibri"/>
      <w:b/>
      <w:bCs/>
      <w:color w:val="19170F"/>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60" w:line="240" w:lineRule="auto" w:before="0"/>
      <w:contextualSpacing/>
    </w:pPr>
    <w:rPr>
      <w:rFonts w:asciiTheme="majorHAnsi" w:eastAsiaTheme="majorEastAsia" w:hAnsiTheme="majorHAnsi" w:cstheme="majorBidi" w:ascii="Calibri" w:hAnsi="Calibri"/>
      <w:b/>
      <w:color w:val="19170F"/>
      <w:spacing w:val="5"/>
      <w:kern w:val="28"/>
      <w:sz w:val="5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before="0" w:after="240"/>
    </w:pPr>
    <w:rPr>
      <w:rFonts w:asciiTheme="majorHAnsi" w:eastAsiaTheme="majorEastAsia" w:hAnsiTheme="majorHAnsi" w:cstheme="majorBidi" w:ascii="Calibri" w:hAnsi="Calibri"/>
      <w:b w:val="0"/>
      <w:i/>
      <w:iCs/>
      <w:color w:val="5C584F"/>
      <w:spacing w:val="15"/>
      <w:sz w:val="23"/>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60" w:line="278" w:lineRule="auto"/>
      <w:ind w:left="540" w:hanging="271"/>
      <w:contextualSpacing/>
    </w:pPr>
    <w:rPr>
      <w:rFonts w:ascii="Calibri" w:hAnsi="Calibri"/>
      <w:sz w:val="20"/>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60" w:line="278" w:lineRule="auto"/>
      <w:ind w:left="540" w:hanging="271"/>
      <w:contextualSpacing/>
    </w:pPr>
    <w:rPr>
      <w:rFonts w:ascii="Calibri" w:hAnsi="Calibri"/>
      <w:sz w:val="20"/>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mallprint">
    <w:name w:val="Small print"/>
    <w:pPr>
      <w:spacing w:after="80" w:line="276" w:lineRule="auto"/>
    </w:pPr>
    <w:rPr>
      <w:rFonts w:ascii="Calibri" w:hAnsi="Calibri"/>
      <w:color w:val="5C584F"/>
      <w:sz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www.rijksoverheid.nl/vraag-en-antwoord/bezwaar-en-beroep/bezwaar-tegen-beslissing-overheid" TargetMode="External"/><Relationship Id="rId12" Type="http://schemas.openxmlformats.org/officeDocument/2006/relationships/hyperlink" Target="https://www.rechtspraak.nl/Onderwerpen/Voorlopige-voorziening" TargetMode="External"/><Relationship Id="rId13" Type="http://schemas.openxmlformats.org/officeDocument/2006/relationships/hyperlink" Target="https://www.rijksoverheid.nl/vraag-en-antwoord/bezwaar-en-beroep/beslissing-aanvraag-bezwaar-te-laat" TargetMode="External"/><Relationship Id="rId14" Type="http://schemas.openxmlformats.org/officeDocument/2006/relationships/hyperlink" Target="https://www.rechtspraak.nl/onderwerpen/overheidsorganisatie-beslist-niet-op-tijd" TargetMode="External"/><Relationship Id="rId15" Type="http://schemas.openxmlformats.org/officeDocument/2006/relationships/hyperlink" Target="https://uitspraken.rechtspraak.nl/details?id=ECLI%3ANL%3ARBOVE%3A2025%3A667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Ingebrekestelling bij niet tijdig beslissen</dc:title>
  <dc:subject>ArevLegal voorbeeldbrief bestuursrecht</dc:subject>
  <dc:creator>ArevLegal</dc:creator>
  <cp:keywords>ingebrekestelling, niet tijdig beslissen, bestuursrecht, Awb, dwangsom</cp:keywords>
  <dc:description>Zelfstandig opgesteld ArevLegal-model. Gecontroleerd op 26 juli 2026.</dc:description>
  <cp:lastModifiedBy/>
  <cp:revision>1</cp:revision>
  <dcterms:created xsi:type="dcterms:W3CDTF">2013-12-23T23:15:00Z</dcterms:created>
  <dcterms:modified xsi:type="dcterms:W3CDTF">2013-12-23T23:15:00Z</dcterms:modified>
  <cp:category/>
</cp:coreProperties>
</file>