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CONTRACTENRECHT</w:t>
      </w:r>
    </w:p>
    <w:p>
      <w:pPr>
        <w:pStyle w:val="Title"/>
      </w:pPr>
      <w:r>
        <w:t>Koopovereenkomst roerende zaak tussen particulieren</w:t>
      </w:r>
    </w:p>
    <w:p>
      <w:pPr>
        <w:pStyle w:val="Subtitle"/>
      </w:pPr>
      <w:r>
        <w:t>Leg de verkoop van bijvoorbeeld een fiets, machine, kunstwerk of tweedehands apparaat vast.</w:t>
      </w:r>
    </w:p>
    <w:p>
      <w:pPr>
        <w:pStyle w:val="Smallprint"/>
        <w:pBdr>
          <w:bottom w:val="single" w:sz="6" w:space="1" w:color="DEDBD2"/>
        </w:pBdr>
      </w:pPr>
      <w:r>
        <w:rPr>
          <w:b/>
        </w:rPr>
        <w:t xml:space="preserve">Model voor Nederlands recht  |  Versie </w:t>
      </w:r>
      <w:r>
        <w:t>24 juli 2026</w:t>
      </w:r>
    </w:p>
    <w:p>
      <w:pPr>
        <w:pStyle w:val="Heading1"/>
      </w:pPr>
      <w:r>
        <w:t>Afbakening</w:t>
      </w:r>
    </w:p>
    <w:p>
      <w:r>
        <w:t>Dit model is voor een incidentele koop tussen particulieren. Het is niet geschikt voor een ondernemer die aan een consument verkoopt, voertuigen met bijzondere registratie, dieren, vastgoed of goederen met complexe eigendomsrechten.</w:t>
      </w:r>
    </w:p>
    <w:p>
      <w:pPr>
        <w:pStyle w:val="Heading1"/>
      </w:pPr>
      <w:r>
        <w:t>Partijen</w:t>
      </w:r>
    </w:p>
    <w:p>
      <w:r>
        <w:t>1. [Verkoper: volledige naam/bedrijfsnaam], gevestigd of wonend aan [adres], [KvK-nummer indien van toepassing], rechtsgeldig vertegenwoordigd door [naam], hierna: Verkoper;</w:t>
        <w:br/>
        <w:br/>
        <w:t>2. [Koper: volledige naam/bedrijfsnaam], gevestigd of wonend aan [adres], [KvK-nummer indien van toepassing], rechtsgeldig vertegenwoordigd door [naam], hierna: Koper;</w:t>
        <w:br/>
        <w:br/>
        <w:t>hierna samen: Partijen.</w:t>
      </w:r>
    </w:p>
    <w:p>
      <w:pPr>
        <w:pStyle w:val="Heading2"/>
      </w:pPr>
      <w:r>
        <w:t>1. Zaak</w:t>
      </w:r>
    </w:p>
    <w:p>
      <w:r>
        <w:t>Verkoper verkoopt aan Koper: [nauwkeurige omschrijving, merk, type, serienummer, bouwjaar en accessoires]. Foto's en inventarislijst zijn bijgevoegd.</w:t>
      </w:r>
    </w:p>
    <w:p>
      <w:pPr>
        <w:pStyle w:val="Heading2"/>
      </w:pPr>
      <w:r>
        <w:t>2. Koopprijs</w:t>
      </w:r>
    </w:p>
    <w:p>
      <w:r>
        <w:t>De koopprijs is € [bedrag]. Betaling vindt plaats via [wijze] uiterlijk op [datum/moment].</w:t>
      </w:r>
    </w:p>
    <w:p>
      <w:pPr>
        <w:pStyle w:val="Heading2"/>
      </w:pPr>
      <w:r>
        <w:t>3. Levering en risico</w:t>
      </w:r>
    </w:p>
    <w:p>
      <w:r>
        <w:t>Levering vindt plaats op [datum] te [plaats]. Het risico gaat over op Koper bij feitelijke aflevering, tenzij partijen rechtsgeldig anders afspreken.</w:t>
      </w:r>
    </w:p>
    <w:p>
      <w:pPr>
        <w:pStyle w:val="Heading2"/>
      </w:pPr>
      <w:r>
        <w:t>4. Eigendom</w:t>
      </w:r>
    </w:p>
    <w:p>
      <w:r>
        <w:t>Verkoper verklaart bevoegd te zijn de zaak te verkopen en dat deze, voor zover bekend, vrij is van pand, beslag, huurkoop en rechten van derden.</w:t>
      </w:r>
    </w:p>
    <w:p>
      <w:pPr>
        <w:pStyle w:val="Heading2"/>
      </w:pPr>
      <w:r>
        <w:t>5. Staat en informatie</w:t>
      </w:r>
    </w:p>
    <w:p>
      <w:r>
        <w:t>Koper heeft de zaak kunnen onderzoeken. Verkoper meldt de volgende bekende gebreken en bijzonderheden: [invullen]. Kilometerstand/gebruiksduur: [indien relevant].</w:t>
      </w:r>
    </w:p>
    <w:p>
      <w:pPr>
        <w:pStyle w:val="Heading2"/>
      </w:pPr>
      <w:r>
        <w:t>6. Geen professionele garantie</w:t>
      </w:r>
    </w:p>
    <w:p>
      <w:r>
        <w:t>Partijen begrijpen dat dit een particuliere verkoop is. Deze bepaling sluit geen rechten uit die op grond van de wet en de gegeven informatie toch gelden.</w:t>
      </w:r>
    </w:p>
    <w:p>
      <w:pPr>
        <w:pStyle w:val="Heading2"/>
      </w:pPr>
      <w:r>
        <w:t>7. Documenten en accessoires</w:t>
      </w:r>
    </w:p>
    <w:p>
      <w:r>
        <w:t>Bij levering ontvangt Koper: [handleiding, aankoopbewijs, sleutels, certificaten, onderdelen en overige].</w:t>
      </w:r>
    </w:p>
    <w:p>
      <w:pPr>
        <w:pStyle w:val="Heading2"/>
      </w:pPr>
      <w:r>
        <w:t>8. Geschillen</w:t>
      </w:r>
    </w:p>
    <w:p>
      <w:r>
        <w:t>Nederlands recht is van toepassing. Partijen proberen een probleem eerst schriftelijk en in overleg op te lossen.</w:t>
      </w:r>
    </w:p>
    <w:p>
      <w:pPr>
        <w:pStyle w:val="Heading2"/>
      </w:pPr>
      <w:r>
        <w:t>Ondertekening</w:t>
      </w:r>
    </w:p>
    <w:tbl>
      <w:tblPr>
        <w:tblW w:type="auto" w:w="0"/>
        <w:tblLayout w:type="fixed"/>
        <w:tblLook w:firstColumn="1" w:firstRow="1" w:lastColumn="0" w:lastRow="0" w:noHBand="0" w:noVBand="1" w:val="04A0"/>
      </w:tblPr>
      <w:tblGrid>
        <w:gridCol w:w="4680"/>
        <w:gridCol w:w="4680"/>
      </w:tblGrid>
      <w:tr>
        <w:trPr>
          <w:tblHeader w:val="true"/>
        </w:trPr>
        <w:tc>
          <w:tcPr>
            <w:tcW w:type="dxa" w:w="4680"/>
            <w:tcMar>
              <w:top w:w="100" w:type="dxa"/>
              <w:start w:w="120" w:type="dxa"/>
              <w:bottom w:w="100" w:type="dxa"/>
              <w:end w:w="120" w:type="dxa"/>
            </w:tcMar>
            <w:shd w:fill="F6F6F3"/>
          </w:tcPr>
          <w:p>
            <w:r>
              <w:rPr>
                <w:b/>
              </w:rPr>
              <w:t>Verkoper</w:t>
            </w:r>
          </w:p>
        </w:tc>
        <w:tc>
          <w:tcPr>
            <w:tcW w:type="dxa" w:w="4680"/>
            <w:tcMar>
              <w:top w:w="100" w:type="dxa"/>
              <w:start w:w="120" w:type="dxa"/>
              <w:bottom w:w="100" w:type="dxa"/>
              <w:end w:w="120" w:type="dxa"/>
            </w:tcMar>
            <w:shd w:fill="F6F6F3"/>
          </w:tcPr>
          <w:p>
            <w:r>
              <w:rPr>
                <w:b/>
              </w:rPr>
              <w:t>Koper</w:t>
            </w:r>
          </w:p>
        </w:tc>
      </w:tr>
      <w:tr>
        <w:tc>
          <w:tcPr>
            <w:tcW w:type="dxa" w:w="4680"/>
            <w:tcMar>
              <w:top w:w="100" w:type="dxa"/>
              <w:start w:w="120" w:type="dxa"/>
              <w:bottom w:w="100" w:type="dxa"/>
              <w:end w:w="120" w:type="dxa"/>
            </w:tcMar>
          </w:tcPr>
          <w:p>
            <w:r>
              <w:t>Naam: [invullen]</w:t>
            </w:r>
          </w:p>
        </w:tc>
        <w:tc>
          <w:tcPr>
            <w:tcW w:type="dxa" w:w="4680"/>
            <w:tcMar>
              <w:top w:w="100" w:type="dxa"/>
              <w:start w:w="120" w:type="dxa"/>
              <w:bottom w:w="100" w:type="dxa"/>
              <w:end w:w="120" w:type="dxa"/>
            </w:tcMar>
          </w:tcPr>
          <w:p>
            <w:r>
              <w:t>Naam: [invullen]</w:t>
            </w:r>
          </w:p>
        </w:tc>
      </w:tr>
      <w:tr>
        <w:tc>
          <w:tcPr>
            <w:tcW w:type="dxa" w:w="4680"/>
            <w:tcMar>
              <w:top w:w="100" w:type="dxa"/>
              <w:start w:w="120" w:type="dxa"/>
              <w:bottom w:w="100" w:type="dxa"/>
              <w:end w:w="120" w:type="dxa"/>
            </w:tcMar>
          </w:tcPr>
          <w:p>
            <w:r>
              <w:t>Functie: [invullen]</w:t>
            </w:r>
          </w:p>
        </w:tc>
        <w:tc>
          <w:tcPr>
            <w:tcW w:type="dxa" w:w="4680"/>
            <w:tcMar>
              <w:top w:w="100" w:type="dxa"/>
              <w:start w:w="120" w:type="dxa"/>
              <w:bottom w:w="100" w:type="dxa"/>
              <w:end w:w="120" w:type="dxa"/>
            </w:tcMar>
          </w:tcPr>
          <w:p>
            <w:r>
              <w:t>Functie: [invullen]</w:t>
            </w:r>
          </w:p>
        </w:tc>
      </w:tr>
      <w:tr>
        <w:tc>
          <w:tcPr>
            <w:tcW w:type="dxa" w:w="4680"/>
            <w:tcMar>
              <w:top w:w="100" w:type="dxa"/>
              <w:start w:w="120" w:type="dxa"/>
              <w:bottom w:w="100" w:type="dxa"/>
              <w:end w:w="120" w:type="dxa"/>
            </w:tcMar>
          </w:tcPr>
          <w:p>
            <w:r>
              <w:t>Plaats en datum: [invullen]</w:t>
            </w:r>
          </w:p>
        </w:tc>
        <w:tc>
          <w:tcPr>
            <w:tcW w:type="dxa" w:w="4680"/>
            <w:tcMar>
              <w:top w:w="100" w:type="dxa"/>
              <w:start w:w="120" w:type="dxa"/>
              <w:bottom w:w="100" w:type="dxa"/>
              <w:end w:w="120" w:type="dxa"/>
            </w:tcMar>
          </w:tcPr>
          <w:p>
            <w:r>
              <w:t>Plaats en datum: [invullen]</w:t>
            </w:r>
          </w:p>
        </w:tc>
      </w:tr>
      <w:tr>
        <w:tc>
          <w:tcPr>
            <w:tcW w:type="dxa" w:w="4680"/>
            <w:tcMar>
              <w:top w:w="100" w:type="dxa"/>
              <w:start w:w="120" w:type="dxa"/>
              <w:bottom w:w="100" w:type="dxa"/>
              <w:end w:w="120" w:type="dxa"/>
            </w:tcMar>
          </w:tcPr>
          <w:p>
            <w:r>
              <w:t>Handtekening:</w:t>
              <w:br/>
              <w:br/>
            </w:r>
          </w:p>
        </w:tc>
        <w:tc>
          <w:tcPr>
            <w:tcW w:type="dxa" w:w="4680"/>
            <w:tcMar>
              <w:top w:w="100" w:type="dxa"/>
              <w:start w:w="120" w:type="dxa"/>
              <w:bottom w:w="100" w:type="dxa"/>
              <w:end w:w="120" w:type="dxa"/>
            </w:tcMar>
          </w:tcPr>
          <w:p>
            <w:r>
              <w:t>Handtekening:</w:t>
              <w:br/>
              <w:br/>
            </w:r>
          </w:p>
        </w:tc>
      </w:tr>
    </w:tbl>
    <w:p>
      <w:pPr>
        <w:pStyle w:val="Heading2"/>
      </w:pPr>
      <w:r>
        <w:t>Controleer vóór ondertekening of gebruik</w:t>
      </w:r>
    </w:p>
    <w:p>
      <w:pPr>
        <w:pStyle w:val="ListBullet"/>
      </w:pPr>
      <w:r>
        <w:t>De zaak is met serienummer, foto's en bekende gebreken geïdentificeerd.</w:t>
      </w:r>
    </w:p>
    <w:p>
      <w:pPr>
        <w:pStyle w:val="ListBullet"/>
      </w:pPr>
      <w:r>
        <w:t>Betaling en levering vinden aantoonbaar plaats.</w:t>
      </w:r>
    </w:p>
    <w:p>
      <w:pPr>
        <w:pStyle w:val="ListBullet"/>
      </w:pPr>
      <w:r>
        <w:t>Verkoper is eigenaar en er rusten geen rechten van derden op de zaak.</w:t>
      </w:r>
    </w:p>
    <w:p>
      <w:pPr>
        <w:pStyle w:val="ListBullet"/>
      </w:pPr>
      <w:r>
        <w:t>Beide partijen ontvangen een getekend exemplaar en overdrachtsbewijs.</w:t>
      </w:r>
    </w:p>
    <w:p>
      <w:pPr>
        <w:pStyle w:val="Heading2"/>
      </w:pPr>
      <w:r>
        <w:t>Wanneer maatwerk verstandig is</w:t>
      </w:r>
    </w:p>
    <w:p>
      <w:pPr>
        <w:pStyle w:val="ListBullet"/>
      </w:pPr>
      <w:r>
        <w:t>De verkoper handelt bedrijfsmatig of de koper is consument.</w:t>
      </w:r>
    </w:p>
    <w:p>
      <w:pPr>
        <w:pStyle w:val="ListBullet"/>
      </w:pPr>
      <w:r>
        <w:t>Het gaat om een auto, boot, dier, kunst met herkomstvragen of goederen op afbetaling.</w:t>
      </w:r>
    </w:p>
    <w:p>
      <w:pPr>
        <w:pStyle w:val="ListBullet"/>
      </w:pPr>
      <w:r>
        <w:t>Er is een pandrecht, beslag, financiering of internationale levering.</w:t>
      </w:r>
    </w:p>
    <w:p>
      <w:pPr>
        <w:pStyle w:val="Heading2"/>
      </w:pPr>
      <w:r>
        <w:t>Betrouwbare bronnen</w:t>
      </w:r>
    </w:p>
    <w:p>
      <w:pPr>
        <w:pStyle w:val="ListBullet"/>
      </w:pPr>
      <w:hyperlink r:id="rId11">
        <w:r>
          <w:rPr>
            <w:color w:val="8C6220"/>
            <w:u w:val="single"/>
          </w:rPr>
          <w:t>KVK: hoe een overeenkomst werkt</w:t>
        </w:r>
      </w:hyperlink>
    </w:p>
    <w:p>
      <w:pPr>
        <w:pStyle w:val="ListBullet"/>
      </w:pPr>
      <w:hyperlink r:id="rId12">
        <w:r>
          <w:rPr>
            <w:color w:val="8C6220"/>
            <w:u w:val="single"/>
          </w:rPr>
          <w:t>Rijksoverheid: garanties op een product</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koopovereenkomst roerende zaak.</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kvk.nl/wetten-en-regels/hoe-een-overeenkomst-werkt/" TargetMode="External"/><Relationship Id="rId12" Type="http://schemas.openxmlformats.org/officeDocument/2006/relationships/hyperlink" Target="https://www.rijksoverheid.nl/vraag-en-antwoord/bescherming-van-consumenten/welke-garanties-heb-ik-op-een-pro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Koopovereenkomst Roerende Zaak Particulieren</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