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b/>
          <w:color w:val="8C6220"/>
          <w:sz w:val="18"/>
        </w:rPr>
        <w:t>PRIVACYRECHT</w:t>
      </w:r>
    </w:p>
    <w:p>
      <w:pPr>
        <w:pStyle w:val="Title"/>
      </w:pPr>
      <w:r>
        <w:t>Verwerkersovereenkomst</w:t>
      </w:r>
    </w:p>
    <w:p>
      <w:pPr>
        <w:pStyle w:val="Subtitle"/>
      </w:pPr>
      <w:r>
        <w:t>Leg AVG-afspraken vast wanneer een leverancier persoonsgegevens uitsluitend in uw opdracht verwerkt.</w:t>
      </w:r>
    </w:p>
    <w:p>
      <w:pPr>
        <w:pStyle w:val="Smallprint"/>
        <w:pBdr>
          <w:bottom w:val="single" w:sz="6" w:space="1" w:color="DEDBD2"/>
        </w:pBdr>
      </w:pPr>
      <w:r>
        <w:rPr>
          <w:b/>
        </w:rPr>
        <w:t xml:space="preserve">Model voor Nederlands recht  |  Versie </w:t>
      </w:r>
      <w:r>
        <w:t>24 juli 2026</w:t>
      </w:r>
    </w:p>
    <w:p>
      <w:pPr>
        <w:pStyle w:val="Heading1"/>
      </w:pPr>
      <w:r>
        <w:t>Wanneer gebruikt u dit model?</w:t>
      </w:r>
    </w:p>
    <w:p>
      <w:r>
        <w:t>Gebruik dit model alleen als de ene partij verwerkingsverantwoordelijke is en de andere partij persoonsgegevens uitsluitend in haar opdracht verwerkt. Bepaal eerst de rollen. Een verkeerde rolverdeling wordt niet hersteld door de titel van het contract.</w:t>
      </w:r>
    </w:p>
    <w:p>
      <w:pPr>
        <w:pStyle w:val="Heading1"/>
      </w:pPr>
      <w:r>
        <w:t>Partijen</w:t>
      </w:r>
    </w:p>
    <w:p>
      <w:r>
        <w:t>1. [Verwerkingsverantwoordelijke: volledige naam/bedrijfsnaam], gevestigd of wonend aan [adres], [KvK-nummer indien van toepassing], rechtsgeldig vertegenwoordigd door [naam], hierna: Verwerkingsverantwoordelijke;</w:t>
        <w:br/>
        <w:br/>
        <w:t>2. [Verwerker: volledige naam/bedrijfsnaam], gevestigd of wonend aan [adres], [KvK-nummer indien van toepassing], rechtsgeldig vertegenwoordigd door [naam], hierna: Verwerker;</w:t>
        <w:br/>
        <w:br/>
        <w:t>hierna samen: Partijen.</w:t>
      </w:r>
    </w:p>
    <w:p>
      <w:pPr>
        <w:pStyle w:val="Heading2"/>
      </w:pPr>
      <w:r>
        <w:t>1. Onderwerp en duur</w:t>
      </w:r>
    </w:p>
    <w:p>
      <w:r>
        <w:t>Verwerker verwerkt persoonsgegevens voor [dienst/opdracht], vanaf [datum] tot [einde of criterium]. Na afloop gelden de afspraken over teruggave en verwijdering.</w:t>
      </w:r>
    </w:p>
    <w:p>
      <w:pPr>
        <w:pStyle w:val="Heading2"/>
      </w:pPr>
      <w:r>
        <w:t>2. Aard, doel en categorieën</w:t>
      </w:r>
    </w:p>
    <w:p>
      <w:r>
        <w:t>Doelen: [invullen]. Verwerkingen: [verzamelen, opslaan, raadplegen, verzenden, verwijderen]. Betrokkenen: [categorieën]. Persoonsgegevens: [categorieën, bijzondere gegevens afzonderlijk noemen].</w:t>
      </w:r>
    </w:p>
    <w:p>
      <w:pPr>
        <w:pStyle w:val="Heading2"/>
      </w:pPr>
      <w:r>
        <w:t>3. Instructies</w:t>
      </w:r>
    </w:p>
    <w:p>
      <w:r>
        <w:t>Verwerker verwerkt alleen op schriftelijke instructie van Verwerkingsverantwoordelijke, tenzij Unierecht of Nederlands recht anders verplicht. Verwerker meldt een onrechtmatige instructie.</w:t>
      </w:r>
    </w:p>
    <w:p>
      <w:pPr>
        <w:pStyle w:val="Heading2"/>
      </w:pPr>
      <w:r>
        <w:t>4. Geheimhouding</w:t>
      </w:r>
    </w:p>
    <w:p>
      <w:r>
        <w:t>Personen met toegang tot persoonsgegevens zijn aan passende geheimhouding gebonden en krijgen alleen toegang voor zover nodig.</w:t>
      </w:r>
    </w:p>
    <w:p>
      <w:pPr>
        <w:pStyle w:val="Heading2"/>
      </w:pPr>
      <w:r>
        <w:t>5. Beveiliging</w:t>
      </w:r>
    </w:p>
    <w:p>
      <w:r>
        <w:t>Verwerker treft passende technische en organisatorische maatregelen. Bijlage 1 bevat minimaal toegangsbeheer, versleuteling waar passend, back-ups, logging, updates, continuïteit en periodieke evaluatie.</w:t>
      </w:r>
    </w:p>
    <w:p>
      <w:pPr>
        <w:pStyle w:val="Heading2"/>
      </w:pPr>
      <w:r>
        <w:t>6. Subverwerkers</w:t>
      </w:r>
    </w:p>
    <w:p>
      <w:r>
        <w:t>Verwerker gebruikt alleen subverwerkers na [specifieke/algemene] schriftelijke toestemming en legt gelijkwaardige verplichtingen op. Wijzigingen worden vooraf gemeld.</w:t>
      </w:r>
    </w:p>
    <w:p>
      <w:pPr>
        <w:pStyle w:val="Heading2"/>
      </w:pPr>
      <w:r>
        <w:t>7. Datalekken</w:t>
      </w:r>
    </w:p>
    <w:p>
      <w:r>
        <w:t>Verwerker meldt een beveiligingsincident zonder onredelijke vertraging, uiterlijk binnen [aantal] uur na ontdekking, met beschikbare informatie over aard, omvang, gevolgen en maatregelen. Verwerker doet geen externe melding zonder afstemming, tenzij wettelijk verplicht.</w:t>
      </w:r>
    </w:p>
    <w:p>
      <w:pPr>
        <w:pStyle w:val="Heading2"/>
      </w:pPr>
      <w:r>
        <w:t>8. Rechten van betrokkenen</w:t>
      </w:r>
    </w:p>
    <w:p>
      <w:r>
        <w:t>Verwerker helpt tijdig bij verzoeken om inzage, correctie, verwijdering, beperking, overdracht en bezwaar, en stuurt ontvangen verzoeken direct door.</w:t>
      </w:r>
    </w:p>
    <w:p>
      <w:pPr>
        <w:pStyle w:val="Heading2"/>
      </w:pPr>
      <w:r>
        <w:t>9. DPIA, toezicht en audits</w:t>
      </w:r>
    </w:p>
    <w:p>
      <w:r>
        <w:t>Verwerker verleent redelijke bijstand bij risicoanalyses, DPIA's, voorafgaande raadpleging en toezicht. Verwerker stelt informatie beschikbaar en werkt mee aan proportionele audits.</w:t>
      </w:r>
    </w:p>
    <w:p>
      <w:pPr>
        <w:pStyle w:val="Heading2"/>
      </w:pPr>
      <w:r>
        <w:t>10. Internationale doorgifte</w:t>
      </w:r>
    </w:p>
    <w:p>
      <w:r>
        <w:t>Doorgifte buiten de EER vindt alleen plaats na schriftelijke instructie en met een geldige doorgiftegrond en aanvullende maatregelen waar nodig.</w:t>
      </w:r>
    </w:p>
    <w:p>
      <w:pPr>
        <w:pStyle w:val="Heading2"/>
      </w:pPr>
      <w:r>
        <w:t>11. Einde verwerking</w:t>
      </w:r>
    </w:p>
    <w:p>
      <w:r>
        <w:t>Na afloop verwijdert of retourneert Verwerker de persoonsgegevens naar keuze van Verwerkingsverantwoordelijke, behalve voor zover een wettelijke bewaarplicht geldt.</w:t>
      </w:r>
    </w:p>
    <w:p>
      <w:pPr>
        <w:pStyle w:val="Heading2"/>
      </w:pPr>
      <w:r>
        <w:t>12. Aansprakelijkheid en overige afspraken</w:t>
      </w:r>
    </w:p>
    <w:p>
      <w:r>
        <w:t>Aansprakelijkheid, looptijd, beëindiging en recht sluiten aan op de hoofdovereenkomst, voor zover de AVG niet anders vereist.</w:t>
      </w:r>
    </w:p>
    <w:p>
      <w:pPr>
        <w:pStyle w:val="Heading2"/>
      </w:pPr>
      <w:r>
        <w:t>Bijlage 1 - beveiligingsmaatregelen</w:t>
      </w:r>
    </w:p>
    <w:p>
      <w:pPr>
        <w:pStyle w:val="ListBullet"/>
      </w:pPr>
      <w:r>
        <w:t>Authenticatie en autorisaties: [invullen].</w:t>
      </w:r>
    </w:p>
    <w:p>
      <w:pPr>
        <w:pStyle w:val="ListBullet"/>
      </w:pPr>
      <w:r>
        <w:t>Versleuteling tijdens transport en opslag: [invullen].</w:t>
      </w:r>
    </w:p>
    <w:p>
      <w:pPr>
        <w:pStyle w:val="ListBullet"/>
      </w:pPr>
      <w:r>
        <w:t>Back-ups, herstel en continuïteit: [invullen].</w:t>
      </w:r>
    </w:p>
    <w:p>
      <w:pPr>
        <w:pStyle w:val="ListBullet"/>
      </w:pPr>
      <w:r>
        <w:t>Logging, monitoring en incidentrespons: [invullen].</w:t>
      </w:r>
    </w:p>
    <w:p>
      <w:pPr>
        <w:pStyle w:val="ListBullet"/>
      </w:pPr>
      <w:r>
        <w:t>Updates, kwetsbaarheden en periodieke tests: [invullen].</w:t>
      </w:r>
    </w:p>
    <w:p>
      <w:pPr>
        <w:pStyle w:val="ListBullet"/>
      </w:pPr>
      <w:r>
        <w:t>Bewaar- en verwijdertermijnen: [invullen].</w:t>
      </w:r>
    </w:p>
    <w:p>
      <w:pPr>
        <w:pStyle w:val="Heading2"/>
      </w:pPr>
      <w:r>
        <w:t>Ondertekening</w:t>
      </w:r>
    </w:p>
    <w:tbl>
      <w:tblPr>
        <w:tblW w:type="auto" w:w="0"/>
        <w:tblLayout w:type="fixed"/>
        <w:tblLook w:firstColumn="1" w:firstRow="1" w:lastColumn="0" w:lastRow="0" w:noHBand="0" w:noVBand="1" w:val="04A0"/>
      </w:tblPr>
      <w:tblGrid>
        <w:gridCol w:w="4680"/>
        <w:gridCol w:w="4680"/>
      </w:tblGrid>
      <w:tr>
        <w:trPr>
          <w:tblHeader w:val="true"/>
        </w:trPr>
        <w:tc>
          <w:tcPr>
            <w:tcW w:type="dxa" w:w="4680"/>
            <w:tcMar>
              <w:top w:w="100" w:type="dxa"/>
              <w:start w:w="120" w:type="dxa"/>
              <w:bottom w:w="100" w:type="dxa"/>
              <w:end w:w="120" w:type="dxa"/>
            </w:tcMar>
            <w:shd w:fill="F6F6F3"/>
          </w:tcPr>
          <w:p>
            <w:r>
              <w:rPr>
                <w:b/>
              </w:rPr>
              <w:t>Verantwoordelijke</w:t>
            </w:r>
          </w:p>
        </w:tc>
        <w:tc>
          <w:tcPr>
            <w:tcW w:type="dxa" w:w="4680"/>
            <w:tcMar>
              <w:top w:w="100" w:type="dxa"/>
              <w:start w:w="120" w:type="dxa"/>
              <w:bottom w:w="100" w:type="dxa"/>
              <w:end w:w="120" w:type="dxa"/>
            </w:tcMar>
            <w:shd w:fill="F6F6F3"/>
          </w:tcPr>
          <w:p>
            <w:r>
              <w:rPr>
                <w:b/>
              </w:rPr>
              <w:t>Verwerker</w:t>
            </w:r>
          </w:p>
        </w:tc>
      </w:tr>
      <w:tr>
        <w:tc>
          <w:tcPr>
            <w:tcW w:type="dxa" w:w="4680"/>
            <w:tcMar>
              <w:top w:w="100" w:type="dxa"/>
              <w:start w:w="120" w:type="dxa"/>
              <w:bottom w:w="100" w:type="dxa"/>
              <w:end w:w="120" w:type="dxa"/>
            </w:tcMar>
          </w:tcPr>
          <w:p>
            <w:r>
              <w:t>Naam: [invullen]</w:t>
            </w:r>
          </w:p>
        </w:tc>
        <w:tc>
          <w:tcPr>
            <w:tcW w:type="dxa" w:w="4680"/>
            <w:tcMar>
              <w:top w:w="100" w:type="dxa"/>
              <w:start w:w="120" w:type="dxa"/>
              <w:bottom w:w="100" w:type="dxa"/>
              <w:end w:w="120" w:type="dxa"/>
            </w:tcMar>
          </w:tcPr>
          <w:p>
            <w:r>
              <w:t>Naam: [invullen]</w:t>
            </w:r>
          </w:p>
        </w:tc>
      </w:tr>
      <w:tr>
        <w:tc>
          <w:tcPr>
            <w:tcW w:type="dxa" w:w="4680"/>
            <w:tcMar>
              <w:top w:w="100" w:type="dxa"/>
              <w:start w:w="120" w:type="dxa"/>
              <w:bottom w:w="100" w:type="dxa"/>
              <w:end w:w="120" w:type="dxa"/>
            </w:tcMar>
          </w:tcPr>
          <w:p>
            <w:r>
              <w:t>Functie: [invullen]</w:t>
            </w:r>
          </w:p>
        </w:tc>
        <w:tc>
          <w:tcPr>
            <w:tcW w:type="dxa" w:w="4680"/>
            <w:tcMar>
              <w:top w:w="100" w:type="dxa"/>
              <w:start w:w="120" w:type="dxa"/>
              <w:bottom w:w="100" w:type="dxa"/>
              <w:end w:w="120" w:type="dxa"/>
            </w:tcMar>
          </w:tcPr>
          <w:p>
            <w:r>
              <w:t>Functie: [invullen]</w:t>
            </w:r>
          </w:p>
        </w:tc>
      </w:tr>
      <w:tr>
        <w:tc>
          <w:tcPr>
            <w:tcW w:type="dxa" w:w="4680"/>
            <w:tcMar>
              <w:top w:w="100" w:type="dxa"/>
              <w:start w:w="120" w:type="dxa"/>
              <w:bottom w:w="100" w:type="dxa"/>
              <w:end w:w="120" w:type="dxa"/>
            </w:tcMar>
          </w:tcPr>
          <w:p>
            <w:r>
              <w:t>Plaats en datum: [invullen]</w:t>
            </w:r>
          </w:p>
        </w:tc>
        <w:tc>
          <w:tcPr>
            <w:tcW w:type="dxa" w:w="4680"/>
            <w:tcMar>
              <w:top w:w="100" w:type="dxa"/>
              <w:start w:w="120" w:type="dxa"/>
              <w:bottom w:w="100" w:type="dxa"/>
              <w:end w:w="120" w:type="dxa"/>
            </w:tcMar>
          </w:tcPr>
          <w:p>
            <w:r>
              <w:t>Plaats en datum: [invullen]</w:t>
            </w:r>
          </w:p>
        </w:tc>
      </w:tr>
      <w:tr>
        <w:tc>
          <w:tcPr>
            <w:tcW w:type="dxa" w:w="4680"/>
            <w:tcMar>
              <w:top w:w="100" w:type="dxa"/>
              <w:start w:w="120" w:type="dxa"/>
              <w:bottom w:w="100" w:type="dxa"/>
              <w:end w:w="120" w:type="dxa"/>
            </w:tcMar>
          </w:tcPr>
          <w:p>
            <w:r>
              <w:t>Handtekening:</w:t>
              <w:br/>
              <w:br/>
            </w:r>
          </w:p>
        </w:tc>
        <w:tc>
          <w:tcPr>
            <w:tcW w:type="dxa" w:w="4680"/>
            <w:tcMar>
              <w:top w:w="100" w:type="dxa"/>
              <w:start w:w="120" w:type="dxa"/>
              <w:bottom w:w="100" w:type="dxa"/>
              <w:end w:w="120" w:type="dxa"/>
            </w:tcMar>
          </w:tcPr>
          <w:p>
            <w:r>
              <w:t>Handtekening:</w:t>
              <w:br/>
              <w:br/>
            </w:r>
          </w:p>
        </w:tc>
      </w:tr>
    </w:tbl>
    <w:p>
      <w:pPr>
        <w:pStyle w:val="Heading2"/>
      </w:pPr>
      <w:r>
        <w:t>Controleer vóór ondertekening of gebruik</w:t>
      </w:r>
    </w:p>
    <w:p>
      <w:pPr>
        <w:pStyle w:val="ListBullet"/>
      </w:pPr>
      <w:r>
        <w:t>Rollen, doelen, betrokkenen en gegevenscategorieën zijn juist bepaald.</w:t>
      </w:r>
    </w:p>
    <w:p>
      <w:pPr>
        <w:pStyle w:val="ListBullet"/>
      </w:pPr>
      <w:r>
        <w:t>Subverwerkers en internationale doorgiften zijn volledig in kaart gebracht.</w:t>
      </w:r>
    </w:p>
    <w:p>
      <w:pPr>
        <w:pStyle w:val="ListBullet"/>
      </w:pPr>
      <w:r>
        <w:t>Beveiligingsmaatregelen zijn concreet en toetsbaar.</w:t>
      </w:r>
    </w:p>
    <w:p>
      <w:pPr>
        <w:pStyle w:val="ListBullet"/>
      </w:pPr>
      <w:r>
        <w:t>Datalektermijn is kort genoeg om binnen 72 uur te kunnen beoordelen en melden.</w:t>
      </w:r>
    </w:p>
    <w:p>
      <w:pPr>
        <w:pStyle w:val="Heading2"/>
      </w:pPr>
      <w:r>
        <w:t>Wanneer maatwerk verstandig is</w:t>
      </w:r>
    </w:p>
    <w:p>
      <w:pPr>
        <w:pStyle w:val="ListBullet"/>
      </w:pPr>
      <w:r>
        <w:t>Partijen bepalen samen doelen of middelen, waardoor gezamenlijke verantwoordelijkheid kan bestaan.</w:t>
      </w:r>
    </w:p>
    <w:p>
      <w:pPr>
        <w:pStyle w:val="ListBullet"/>
      </w:pPr>
      <w:r>
        <w:t>Er zijn bijzondere gegevens, grootschalige monitoring, cloudhosting buiten de EER of veel subverwerkers.</w:t>
      </w:r>
    </w:p>
    <w:p>
      <w:pPr>
        <w:pStyle w:val="ListBullet"/>
      </w:pPr>
      <w:r>
        <w:t>De hoofdovereenkomst bevat afwijkende aansprakelijkheids- of auditbepalingen.</w:t>
      </w:r>
    </w:p>
    <w:p>
      <w:pPr>
        <w:pStyle w:val="Heading2"/>
      </w:pPr>
      <w:r>
        <w:t>Betrouwbare bronnen</w:t>
      </w:r>
    </w:p>
    <w:p>
      <w:pPr>
        <w:pStyle w:val="ListBullet"/>
      </w:pPr>
      <w:hyperlink r:id="rId11">
        <w:r>
          <w:rPr>
            <w:color w:val="8C6220"/>
            <w:u w:val="single"/>
          </w:rPr>
          <w:t>Autoriteit Persoonsgegevens: verwerkersovereenkomst</w:t>
        </w:r>
      </w:hyperlink>
    </w:p>
    <w:p>
      <w:pPr>
        <w:pStyle w:val="ListBullet"/>
      </w:pPr>
      <w:hyperlink r:id="rId12">
        <w:r>
          <w:rPr>
            <w:color w:val="8C6220"/>
            <w:u w:val="single"/>
          </w:rPr>
          <w:t>Autoriteit Persoonsgegevens: datalek melden</w:t>
        </w:r>
      </w:hyperlink>
    </w:p>
    <w:p>
      <w:pPr>
        <w:pStyle w:val="Smallprint"/>
      </w:pPr>
      <w:r>
        <w:t>Wet- en regelgeving kan wijzigen. Controleer vóór gebruik of de genoemde bron nog actueel is.</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Wilt u zekerheid vóór u verstuurt of tekent?</w:t>
            </w:r>
          </w:p>
          <w:p>
            <w:pPr>
              <w:pStyle w:val="Smallprint"/>
            </w:pPr>
            <w:r>
              <w:t>ArevLegal kan uw ingevulde document controleren of aanpassen aan uw situatie, vanaf € 250 excl. btw. U krijgt vooraf duidelijkheid over de prijs en de werkzaamheden. Neem contact op via info@arevlegal.nl en vermeld als onderwerp: controle verwerkersovereenkomst.</w:t>
            </w:r>
          </w:p>
        </w:tc>
      </w:tr>
    </w:tbl>
    <w:p>
      <w:pPr>
        <w:spacing w:after="0"/>
      </w:pP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C584F"/>
        <w:sz w:val="16"/>
      </w:rPr>
      <w:t xml:space="preserve">ArevLegal  |  Gecontroleerd op 24 juli 2026  |  arevlegal.nl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1" w:color="B9862E"/>
      </w:pBdr>
    </w:pPr>
    <w:r>
      <w:rPr>
        <w:rFonts w:ascii="Calibri" w:hAnsi="Calibri"/>
        <w:b/>
        <w:color w:val="8C6220"/>
        <w:sz w:val="17"/>
      </w:rPr>
      <w:t>AREVLEGAL  |  VOORBEELDDOCUMENT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8" w:lineRule="auto"/>
    </w:pPr>
    <w:rPr>
      <w:rFonts w:ascii="Calibri" w:hAnsi="Calibri"/>
      <w:color w:val="19170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19170F"/>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9170F"/>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9170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9170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C584F"/>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8" w:lineRule="auto"/>
      <w:ind w:left="540" w:hanging="271"/>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8" w:lineRule="auto"/>
      <w:ind w:left="540" w:hanging="271"/>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print">
    <w:name w:val="Small print"/>
    <w:pPr>
      <w:spacing w:after="80" w:line="276" w:lineRule="auto"/>
    </w:pPr>
    <w:rPr>
      <w:rFonts w:ascii="Calibri" w:hAnsi="Calibri"/>
      <w:color w:val="5C584F"/>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autoriteitpersoonsgegevens.nl/themas/basis-avg/avg-algemeen/verwerkersovereenkomst" TargetMode="External"/><Relationship Id="rId12" Type="http://schemas.openxmlformats.org/officeDocument/2006/relationships/hyperlink" Target="https://www.autoriteitpersoonsgegevens.nl/themas/beveiliging/datalekken/zo-meldt-u-een-data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Arevlegal Verwerkersovereenkomst</dc:title>
  <dc:subject>Juridisch voorbeelddocument van ArevLegal</dc:subject>
  <dc:creator/>
  <cp:keywords>ArevLegal, juridisch, voorbeeld, model, Nederland</cp:keywords>
  <dc:description>Algemeen voorbeeld; geen individueel juridisch advies.</dc:description>
  <cp:lastModifiedBy/>
  <cp:revision>1</cp:revision>
  <dcterms:created xsi:type="dcterms:W3CDTF">2013-12-23T23:15:00Z</dcterms:created>
  <dcterms:modified xsi:type="dcterms:W3CDTF">2013-12-23T23:15:00Z</dcterms:modified>
  <cp:category/>
</cp:coreProperties>
</file>