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b/>
          <w:color w:val="8C6220"/>
          <w:sz w:val="18"/>
        </w:rPr>
        <w:t>ONDERNEMEN EN CONTRACTEN</w:t>
      </w:r>
    </w:p>
    <w:p>
      <w:pPr>
        <w:pStyle w:val="Title"/>
      </w:pPr>
      <w:r>
        <w:t>Wederzijdse geheimhoudingsverklaring</w:t>
      </w:r>
    </w:p>
    <w:p>
      <w:pPr>
        <w:pStyle w:val="Subtitle"/>
      </w:pPr>
      <w:r>
        <w:t>Een eenvoudig startmodel voor twee partijen die vertrouwelijke informatie willen uitwisselen.</w:t>
      </w:r>
    </w:p>
    <w:p>
      <w:pPr>
        <w:pStyle w:val="Smallprint"/>
        <w:pBdr>
          <w:bottom w:val="single" w:sz="6" w:space="1" w:color="DEDBD2"/>
        </w:pBdr>
      </w:pPr>
      <w:r>
        <w:rPr>
          <w:b/>
        </w:rPr>
        <w:t xml:space="preserve">Model voor Nederlands recht  |  Versie </w:t>
      </w:r>
      <w:r>
        <w:t>24 juli 2026</w:t>
      </w:r>
    </w:p>
    <w:p>
      <w:pPr>
        <w:pStyle w:val="Heading1"/>
      </w:pPr>
      <w:r>
        <w:t>Wanneer gebruikt u dit model?</w:t>
      </w:r>
    </w:p>
    <w:p>
      <w:r>
        <w:t>Dit model is bedoeld voor een verkennend zakelijk gesprek waarbij beide partijen vertrouwelijke informatie delen. Denk aan plannen, prijsinformatie, werkwijzen of klantinformatie. Het model is wederzijds: beide partijen hebben dezelfde hoofdverplichtingen.</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Niet voor iedere situatie geschikt</w:t>
            </w:r>
          </w:p>
          <w:p>
            <w:pPr>
              <w:pStyle w:val="Smallprint"/>
            </w:pPr>
            <w:r>
              <w:t>Een NDA vervangt geen verwerkersovereenkomst onder de AVG, samenwerkingsovereenkomst, licentie of regeling over intellectuele eigendom. Voor broncode, uitvindingen, internationale partijen, werknemers, persoonsgegevens of zeer waardevolle bedrijfsgeheimen is maatwerk verstandig.</w:t>
            </w:r>
          </w:p>
        </w:tc>
      </w:tr>
    </w:tbl>
    <w:p>
      <w:pPr>
        <w:spacing w:after="0"/>
      </w:pPr>
    </w:p>
    <w:p>
      <w:pPr>
        <w:pStyle w:val="Heading2"/>
      </w:pPr>
      <w:r>
        <w:t>Vul eerst in</w:t>
      </w:r>
    </w:p>
    <w:p>
      <w:pPr>
        <w:pStyle w:val="ListBullet"/>
      </w:pPr>
      <w:r>
        <w:t>De volledige juridische naam, rechtsvorm, adres en vertegenwoordiger van beide partijen.</w:t>
      </w:r>
    </w:p>
    <w:p>
      <w:pPr>
        <w:pStyle w:val="ListBullet"/>
      </w:pPr>
      <w:r>
        <w:t>Het doel waarvoor informatie wordt gedeeld.</w:t>
      </w:r>
    </w:p>
    <w:p>
      <w:pPr>
        <w:pStyle w:val="ListBullet"/>
      </w:pPr>
      <w:r>
        <w:t>De looptijd van de gesprekken en de geheimhoudingsduur.</w:t>
      </w:r>
    </w:p>
    <w:p>
      <w:pPr>
        <w:pStyle w:val="ListBullet"/>
      </w:pPr>
      <w:r>
        <w:t>De bevoegde rechter en eventueel een passende boete. Een boete is bewust niet standaard ingevuld.</w:t>
      </w:r>
    </w:p>
    <w:p>
      <w:pPr>
        <w:pStyle w:val="Heading1"/>
      </w:pPr>
      <w:r>
        <w:t>Wederzijdse geheimhoudingsverklaring</w:t>
      </w:r>
    </w:p>
    <w:p>
      <w:r>
        <w:t>Tussen:</w:t>
        <w:br/>
        <w:br/>
        <w:t>1. [volledige naam partij A], gevestigd/gevestigd aan [adres], ingeschreven onder nummer [KvK/identificatie], rechtsgeldig vertegenwoordigd door [naam], hierna: Partij A;</w:t>
        <w:br/>
        <w:br/>
        <w:t>en</w:t>
        <w:br/>
        <w:br/>
        <w:t>2. [volledige naam partij B], gevestigd/gevestigd aan [adres], ingeschreven onder nummer [KvK/identificatie], rechtsgeldig vertegenwoordigd door [naam], hierna: Partij B;</w:t>
        <w:br/>
        <w:br/>
        <w:t>samen: Partijen.</w:t>
      </w:r>
    </w:p>
    <w:p>
      <w:pPr>
        <w:pStyle w:val="Heading2"/>
      </w:pPr>
      <w:r>
        <w:t>1. Doel</w:t>
      </w:r>
    </w:p>
    <w:p>
      <w:r>
        <w:t>Partijen wisselen informatie uit voor het volgende doel: [duidelijke omschrijving van het project of gesprek].</w:t>
      </w:r>
    </w:p>
    <w:p>
      <w:pPr>
        <w:pStyle w:val="Heading2"/>
      </w:pPr>
      <w:r>
        <w:t>2. Vertrouwelijke informatie</w:t>
      </w:r>
    </w:p>
    <w:p>
      <w:r>
        <w:t>Vertrouwelijke informatie is alle niet-openbare informatie die in verband met het doel schriftelijk, mondeling of digitaal wordt gedeeld en waarvan de ontvangende partij weet of redelijkerwijs moet begrijpen dat zij vertrouwelijk is. Hieronder vallen in ieder geval: [specificeer categorieën].</w:t>
      </w:r>
    </w:p>
    <w:p>
      <w:pPr>
        <w:pStyle w:val="Heading2"/>
      </w:pPr>
      <w:r>
        <w:t>3. Gebruik en beveiliging</w:t>
      </w:r>
    </w:p>
    <w:p>
      <w:r>
        <w:t>Elke partij gebruikt vertrouwelijke informatie uitsluitend voor het doel, beveiligt die zorgvuldig en deelt haar alleen met medewerkers of adviseurs die de informatie voor het doel nodig hebben en aan passende geheimhouding zijn gebonden.</w:t>
      </w:r>
    </w:p>
    <w:p>
      <w:pPr>
        <w:pStyle w:val="Heading2"/>
      </w:pPr>
      <w:r>
        <w:t>4. Uitzonderingen</w:t>
      </w:r>
    </w:p>
    <w:p>
      <w:r>
        <w:t>De geheimhouding geldt niet voor informatie die de ontvangende partij aantoonbaar al rechtmatig kende, rechtmatig van een derde ontving, zonder schending openbaar is geworden of zelfstandig heeft ontwikkeld. Moet informatie op grond van wet of rechterlijk bevel worden verstrekt, dan informeert de ontvangende partij de andere partij vooraf voor zover dit is toegestaan.</w:t>
      </w:r>
    </w:p>
    <w:p>
      <w:pPr>
        <w:pStyle w:val="Heading2"/>
      </w:pPr>
      <w:r>
        <w:t>5. Eigendom en geen verplichting</w:t>
      </w:r>
    </w:p>
    <w:p>
      <w:r>
        <w:t>De gedeelde informatie blijft eigendom van de verstrekkende partij. Deze overeenkomst draagt geen intellectuele-eigendomsrechten over en verplicht partijen niet om een verdere overeenkomst te sluiten.</w:t>
      </w:r>
    </w:p>
    <w:p>
      <w:pPr>
        <w:pStyle w:val="Heading2"/>
      </w:pPr>
      <w:r>
        <w:t>6. Teruggave en verwijdering</w:t>
      </w:r>
    </w:p>
    <w:p>
      <w:r>
        <w:t>Op schriftelijk verzoek retourneert of verwijdert de ontvangende partij de vertrouwelijke informatie, voor zover wettelijke bewaarplichten of reguliere beveiligde back-ups dit niet verhinderen.</w:t>
      </w:r>
    </w:p>
    <w:p>
      <w:pPr>
        <w:pStyle w:val="Heading2"/>
      </w:pPr>
      <w:r>
        <w:t>7. Duur</w:t>
      </w:r>
    </w:p>
    <w:p>
      <w:r>
        <w:t>Deze overeenkomst gaat in op [datum]. De geheimhoudingsplicht geldt tot [datum / aantal jaren na de laatste verstrekking]. Voor informatie die als bedrijfsgeheim beschermd blijft, spreken partijen af: [invullen].</w:t>
      </w:r>
    </w:p>
    <w:p>
      <w:pPr>
        <w:pStyle w:val="Heading2"/>
      </w:pPr>
      <w:r>
        <w:t>8. Aansprakelijkheid en boete</w:t>
      </w:r>
    </w:p>
    <w:p>
      <w:r>
        <w:t>Bij schending kan de benadeelde partij nakoming en vergoeding van aantoonbare schade vorderen. [Optioneel na juridisch advies: passende boetebepaling invoegen.]</w:t>
      </w:r>
    </w:p>
    <w:p>
      <w:pPr>
        <w:pStyle w:val="Heading2"/>
      </w:pPr>
      <w:r>
        <w:t>9. Recht en geschillen</w:t>
      </w:r>
    </w:p>
    <w:p>
      <w:r>
        <w:t>Op deze overeenkomst is Nederlands recht van toepassing. Geschillen worden voorgelegd aan de bevoegde rechter volgens de wettelijke regels, tenzij partijen schriftelijk een andere geldige afspraak maken.</w:t>
      </w:r>
    </w:p>
    <w:p>
      <w:pPr>
        <w:pStyle w:val="Heading2"/>
        <w:pageBreakBefore/>
      </w:pPr>
      <w:r>
        <w:t>Ondertekening</w:t>
      </w:r>
    </w:p>
    <w:tbl>
      <w:tblPr>
        <w:tblW w:type="auto" w:w="0"/>
        <w:tblLayout w:type="fixed"/>
        <w:tblLook w:firstColumn="1" w:firstRow="1" w:lastColumn="0" w:lastRow="0" w:noHBand="0" w:noVBand="1" w:val="04A0"/>
      </w:tblPr>
      <w:tblGrid>
        <w:gridCol w:w="4680"/>
        <w:gridCol w:w="4680"/>
      </w:tblGrid>
      <w:tr>
        <w:trPr>
          <w:tblHeader w:val="true"/>
        </w:trPr>
        <w:tc>
          <w:tcPr>
            <w:tcW w:type="dxa" w:w="4464"/>
            <w:tcMar>
              <w:top w:w="100" w:type="dxa"/>
              <w:start w:w="120" w:type="dxa"/>
              <w:bottom w:w="100" w:type="dxa"/>
              <w:end w:w="120" w:type="dxa"/>
            </w:tcMar>
            <w:shd w:fill="F6F6F3"/>
          </w:tcPr>
          <w:p>
            <w:r>
              <w:rPr>
                <w:b/>
              </w:rPr>
              <w:t>Partij A</w:t>
            </w:r>
          </w:p>
        </w:tc>
        <w:tc>
          <w:tcPr>
            <w:tcW w:type="dxa" w:w="4464"/>
            <w:tcMar>
              <w:top w:w="100" w:type="dxa"/>
              <w:start w:w="120" w:type="dxa"/>
              <w:bottom w:w="100" w:type="dxa"/>
              <w:end w:w="120" w:type="dxa"/>
            </w:tcMar>
            <w:shd w:fill="F6F6F3"/>
          </w:tcPr>
          <w:p>
            <w:r>
              <w:rPr>
                <w:b/>
              </w:rPr>
              <w:t>Partij B</w:t>
            </w:r>
          </w:p>
        </w:tc>
      </w:tr>
      <w:tr>
        <w:tc>
          <w:tcPr>
            <w:tcW w:type="dxa" w:w="4464"/>
            <w:tcMar>
              <w:top w:w="100" w:type="dxa"/>
              <w:start w:w="120" w:type="dxa"/>
              <w:bottom w:w="100" w:type="dxa"/>
              <w:end w:w="120" w:type="dxa"/>
            </w:tcMar>
          </w:tcPr>
          <w:p>
            <w:r>
              <w:t>Naam: [invullen]</w:t>
            </w:r>
          </w:p>
        </w:tc>
        <w:tc>
          <w:tcPr>
            <w:tcW w:type="dxa" w:w="4464"/>
            <w:tcMar>
              <w:top w:w="100" w:type="dxa"/>
              <w:start w:w="120" w:type="dxa"/>
              <w:bottom w:w="100" w:type="dxa"/>
              <w:end w:w="120" w:type="dxa"/>
            </w:tcMar>
          </w:tcPr>
          <w:p>
            <w:r>
              <w:t>Naam: [invullen]</w:t>
            </w:r>
          </w:p>
        </w:tc>
      </w:tr>
      <w:tr>
        <w:tc>
          <w:tcPr>
            <w:tcW w:type="dxa" w:w="4464"/>
            <w:tcMar>
              <w:top w:w="100" w:type="dxa"/>
              <w:start w:w="120" w:type="dxa"/>
              <w:bottom w:w="100" w:type="dxa"/>
              <w:end w:w="120" w:type="dxa"/>
            </w:tcMar>
          </w:tcPr>
          <w:p>
            <w:r>
              <w:t>Functie: [invullen]</w:t>
            </w:r>
          </w:p>
        </w:tc>
        <w:tc>
          <w:tcPr>
            <w:tcW w:type="dxa" w:w="4464"/>
            <w:tcMar>
              <w:top w:w="100" w:type="dxa"/>
              <w:start w:w="120" w:type="dxa"/>
              <w:bottom w:w="100" w:type="dxa"/>
              <w:end w:w="120" w:type="dxa"/>
            </w:tcMar>
          </w:tcPr>
          <w:p>
            <w:r>
              <w:t>Functie: [invullen]</w:t>
            </w:r>
          </w:p>
        </w:tc>
      </w:tr>
      <w:tr>
        <w:tc>
          <w:tcPr>
            <w:tcW w:type="dxa" w:w="4464"/>
            <w:tcMar>
              <w:top w:w="100" w:type="dxa"/>
              <w:start w:w="120" w:type="dxa"/>
              <w:bottom w:w="100" w:type="dxa"/>
              <w:end w:w="120" w:type="dxa"/>
            </w:tcMar>
          </w:tcPr>
          <w:p>
            <w:r>
              <w:t>Plaats en datum: [invullen]</w:t>
            </w:r>
          </w:p>
        </w:tc>
        <w:tc>
          <w:tcPr>
            <w:tcW w:type="dxa" w:w="4464"/>
            <w:tcMar>
              <w:top w:w="100" w:type="dxa"/>
              <w:start w:w="120" w:type="dxa"/>
              <w:bottom w:w="100" w:type="dxa"/>
              <w:end w:w="120" w:type="dxa"/>
            </w:tcMar>
          </w:tcPr>
          <w:p>
            <w:r>
              <w:t>Plaats en datum: [invullen]</w:t>
            </w:r>
          </w:p>
        </w:tc>
      </w:tr>
      <w:tr>
        <w:tc>
          <w:tcPr>
            <w:tcW w:type="dxa" w:w="4464"/>
            <w:tcMar>
              <w:top w:w="100" w:type="dxa"/>
              <w:start w:w="120" w:type="dxa"/>
              <w:bottom w:w="100" w:type="dxa"/>
              <w:end w:w="120" w:type="dxa"/>
            </w:tcMar>
          </w:tcPr>
          <w:p>
            <w:r>
              <w:t>Handtekening:</w:t>
              <w:br/>
              <w:br/>
            </w:r>
          </w:p>
        </w:tc>
        <w:tc>
          <w:tcPr>
            <w:tcW w:type="dxa" w:w="4464"/>
            <w:tcMar>
              <w:top w:w="100" w:type="dxa"/>
              <w:start w:w="120" w:type="dxa"/>
              <w:bottom w:w="100" w:type="dxa"/>
              <w:end w:w="120" w:type="dxa"/>
            </w:tcMar>
          </w:tcPr>
          <w:p>
            <w:r>
              <w:t>Handtekening:</w:t>
              <w:br/>
              <w:br/>
            </w:r>
          </w:p>
        </w:tc>
      </w:tr>
    </w:tbl>
    <w:p>
      <w:pPr>
        <w:pStyle w:val="Heading2"/>
      </w:pPr>
      <w:r>
        <w:t>Controleer vóór ondertekening</w:t>
      </w:r>
    </w:p>
    <w:p>
      <w:pPr>
        <w:pStyle w:val="ListBullet"/>
      </w:pPr>
      <w:r>
        <w:t>Partijen, doel, informatiecategorieën en duur zijn concreet ingevuld.</w:t>
      </w:r>
    </w:p>
    <w:p>
      <w:pPr>
        <w:pStyle w:val="ListBullet"/>
      </w:pPr>
      <w:r>
        <w:t>Delen met adviseurs, medewerkers en verbonden ondernemingen is passend geregeld.</w:t>
      </w:r>
    </w:p>
    <w:p>
      <w:pPr>
        <w:pStyle w:val="ListBullet"/>
      </w:pPr>
      <w:r>
        <w:t>De NDA botst niet met privacy-, mededingings-, arbeids- of intellectuele-eigendomsregels.</w:t>
      </w:r>
    </w:p>
    <w:p>
      <w:pPr>
        <w:pStyle w:val="ListBullet"/>
      </w:pPr>
      <w:r>
        <w:t>Een eventuele boete is proportioneel en juridisch gecontroleerd.</w:t>
      </w:r>
    </w:p>
    <w:p>
      <w:pPr>
        <w:pStyle w:val="Heading2"/>
      </w:pPr>
      <w:r>
        <w:t>Betrouwbare bronnen</w:t>
      </w:r>
    </w:p>
    <w:p>
      <w:pPr>
        <w:pStyle w:val="ListBullet"/>
      </w:pPr>
      <w:hyperlink r:id="rId11">
        <w:r>
          <w:rPr>
            <w:color w:val="8C6220"/>
            <w:u w:val="single"/>
          </w:rPr>
          <w:t>RVO: bescherm uw bedrijfsgeheim</w:t>
        </w:r>
      </w:hyperlink>
    </w:p>
    <w:p>
      <w:pPr>
        <w:pStyle w:val="ListBullet"/>
      </w:pPr>
      <w:hyperlink r:id="rId12">
        <w:r>
          <w:rPr>
            <w:color w:val="8C6220"/>
            <w:u w:val="single"/>
          </w:rPr>
          <w:t>Autoriteit Persoonsgegevens: wanneer is een verwerkersovereenkomst nodig?</w:t>
        </w:r>
      </w:hyperlink>
    </w:p>
    <w:p>
      <w:pPr>
        <w:pStyle w:val="Smallprint"/>
      </w:pPr>
      <w:r>
        <w:t>Wet- en regelgeving kan wijzigen. Controleer vóór gebruik of de genoemde bron nog actueel is.</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Wilt u zekerheid vóór u verstuurt of tekent?</w:t>
            </w:r>
          </w:p>
          <w:p>
            <w:pPr>
              <w:pStyle w:val="Smallprint"/>
            </w:pPr>
            <w:r>
              <w:t>ArevLegal kan uw ingevulde document controleren of aanpassen aan uw situatie, vanaf € 250 excl. btw. U krijgt vooraf duidelijkheid over de prijs en de werkzaamheden. Neem contact op via info@arevlegal.nl en vermeld als onderwerp: controle geheimhoudingsverklaring.</w:t>
            </w:r>
          </w:p>
        </w:tc>
      </w:tr>
    </w:tbl>
    <w:p>
      <w:pPr>
        <w:spacing w:after="0"/>
      </w:pP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C584F"/>
        <w:sz w:val="16"/>
      </w:rPr>
      <w:t xml:space="preserve">ArevLegal  |  Gecontroleerd op 24 juli 2026  |  arevlegal.nl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8" w:space="1" w:color="B9862E"/>
      </w:pBdr>
    </w:pPr>
    <w:r>
      <w:rPr>
        <w:rFonts w:ascii="Calibri" w:hAnsi="Calibri"/>
        <w:b/>
        <w:color w:val="8C6220"/>
        <w:sz w:val="17"/>
      </w:rPr>
      <w:t>AREVLEGAL  |  VOORBEELDDOCUMENT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78" w:lineRule="auto"/>
    </w:pPr>
    <w:rPr>
      <w:rFonts w:ascii="Calibri" w:hAnsi="Calibri"/>
      <w:color w:val="19170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19170F"/>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b/>
      <w:bCs/>
      <w:color w:val="19170F"/>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9170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9170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5C584F"/>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8" w:lineRule="auto"/>
      <w:ind w:left="540" w:hanging="271"/>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8" w:lineRule="auto"/>
      <w:ind w:left="540" w:hanging="271"/>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print">
    <w:name w:val="Small print"/>
    <w:pPr>
      <w:spacing w:after="80" w:line="276" w:lineRule="auto"/>
    </w:pPr>
    <w:rPr>
      <w:rFonts w:ascii="Calibri" w:hAnsi="Calibri"/>
      <w:color w:val="5C584F"/>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rvo.nl/onderwerpen/intellectueel-eigendom/bescherming-bedrijfsgeheimen" TargetMode="External"/><Relationship Id="rId12" Type="http://schemas.openxmlformats.org/officeDocument/2006/relationships/hyperlink" Target="https://www.autoriteitpersoonsgegevens.nl/themas/basis-avg/avg-algemeen/verwerkersovereenkom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Arevlegal Wederzijdse Geheimhoudingsverklaring</dc:title>
  <dc:subject>Juridisch voorbeelddocument van ArevLegal</dc:subject>
  <dc:creator/>
  <cp:keywords>ArevLegal, juridisch, voorbeeld, model, Nederland</cp:keywords>
  <dc:description>Algemeen voorbeeld; geen individueel juridisch advies.</dc:description>
  <cp:lastModifiedBy/>
  <cp:revision>1</cp:revision>
  <dcterms:created xsi:type="dcterms:W3CDTF">2013-12-23T23:15:00Z</dcterms:created>
  <dcterms:modified xsi:type="dcterms:W3CDTF">2013-12-23T23:15:00Z</dcterms:modified>
  <cp:category/>
</cp:coreProperties>
</file>